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1CD42E">
      <w:pPr>
        <w:widowControl/>
        <w:spacing w:before="0" w:beforeLines="0" w:beforeAutospacing="0" w:after="0" w:afterLines="0" w:afterAutospacing="0" w:line="240" w:lineRule="auto"/>
        <w:jc w:val="left"/>
        <w:rPr>
          <w:rFonts w:ascii="宋体" w:eastAsia="宋体"/>
          <w:sz w:val="32"/>
          <w:szCs w:val="32"/>
        </w:rPr>
      </w:pPr>
    </w:p>
    <w:p w14:paraId="05388517">
      <w:pPr>
        <w:widowControl/>
        <w:spacing w:before="0" w:beforeLines="0" w:beforeAutospacing="0" w:after="0" w:afterLines="0" w:afterAutospacing="0" w:line="240" w:lineRule="auto"/>
        <w:jc w:val="left"/>
        <w:rPr>
          <w:rFonts w:ascii="宋体" w:eastAsia="宋体"/>
          <w:sz w:val="44"/>
          <w:szCs w:val="44"/>
        </w:rPr>
      </w:pPr>
    </w:p>
    <w:p w14:paraId="784D013D">
      <w:pPr>
        <w:widowControl/>
        <w:spacing w:before="0" w:beforeLines="0" w:beforeAutospacing="0" w:after="0" w:afterLines="0" w:afterAutospacing="0" w:line="240" w:lineRule="auto"/>
        <w:jc w:val="left"/>
        <w:rPr>
          <w:rFonts w:ascii="宋体" w:eastAsia="宋体"/>
          <w:sz w:val="44"/>
          <w:szCs w:val="44"/>
        </w:rPr>
      </w:pPr>
    </w:p>
    <w:p w14:paraId="3A519F8D">
      <w:pPr>
        <w:widowControl/>
        <w:spacing w:before="0" w:beforeLines="0" w:beforeAutospacing="0" w:after="0" w:afterLines="0" w:afterAutospacing="0" w:line="240" w:lineRule="auto"/>
        <w:jc w:val="left"/>
        <w:rPr>
          <w:rFonts w:ascii="宋体" w:eastAsia="宋体"/>
          <w:sz w:val="44"/>
          <w:szCs w:val="44"/>
        </w:rPr>
      </w:pPr>
    </w:p>
    <w:p w14:paraId="7CF5F07B">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木垒哈萨克自治县西吉尔镇中心学校</w:t>
      </w:r>
    </w:p>
    <w:p w14:paraId="60E7C588">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2C0E8B7F">
      <w:pPr>
        <w:widowControl/>
      </w:pPr>
      <w:r>
        <w:rPr>
          <w:b w:val="0"/>
          <w:sz w:val="0"/>
          <w:szCs w:val="0"/>
        </w:rPr>
        <w:br w:type="page"/>
      </w:r>
    </w:p>
    <w:p w14:paraId="1C6E8CAE">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14:paraId="079761F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14:paraId="2975878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798C099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7325063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 部门决算情况说明</w:t>
      </w:r>
    </w:p>
    <w:p w14:paraId="688E8D0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5949491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7CE193F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5FAEC0C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3C3C99E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66D8A84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248D8B2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5EDCA3E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60F8B47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5BE8F71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6545E72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15FE2D6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35AD3A0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6393DC0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7C87179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1B5F4A3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3E06792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1186321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60D02C6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 专业名词解释</w:t>
      </w:r>
    </w:p>
    <w:p w14:paraId="35ECF46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 部门决算报表（见附表）</w:t>
      </w:r>
    </w:p>
    <w:p w14:paraId="4DA94F5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7F86872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5BA5CF3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6EAED3E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0EED2E7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7AE7F36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5A5B36F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78C6F57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2BA4A13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1CA3FF54">
      <w:pPr>
        <w:widowControl/>
      </w:pPr>
      <w:r>
        <w:rPr>
          <w:b w:val="0"/>
          <w:sz w:val="0"/>
          <w:szCs w:val="0"/>
        </w:rPr>
        <w:br w:type="page"/>
      </w:r>
    </w:p>
    <w:p w14:paraId="2B5D4968">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14:paraId="5960FD47">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14:paraId="0EAD571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幼儿园负责为学龄前儿童提供保育和教育服务。以培养幼儿创新精神和实践动手能力为核心，结合主题活动的开展和区域环境的布置进一步增强幼儿动手操作的兴趣，给每个幼儿提供充分动脑动手的机会，孩子们在参与的过程中，主动的去思考、去实践，感受其中的乐趣。建构健康、平等、和谐的师幼环境，要求教师爱护、尊重、赏识每一个孩子，平等、宽容地对待每一个孩子，站在孩子的立场，积极鼓励孩子，努力使他们成为自信、活泼、健康、快乐的孩子。</w:t>
      </w:r>
    </w:p>
    <w:p w14:paraId="0104DD6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40CCEFA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木垒哈萨克自治县西吉尔镇中心学校2024年度，实有人数123人，其中：在职人员7人，减少38人；离休人员0人，较上年无变化；退休人员116人，减少2人。</w:t>
      </w:r>
    </w:p>
    <w:p w14:paraId="5C5FFEB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木垒哈萨克自治县西吉尔镇中心学校无下属预算单位，下设4个科室，分别是：教务室、总务室、财务室、德育室。</w:t>
      </w:r>
    </w:p>
    <w:p w14:paraId="2B043EEB">
      <w:pPr>
        <w:widowControl/>
      </w:pPr>
      <w:r>
        <w:rPr>
          <w:b w:val="0"/>
          <w:sz w:val="0"/>
          <w:szCs w:val="0"/>
        </w:rPr>
        <w:br w:type="page"/>
      </w:r>
    </w:p>
    <w:p w14:paraId="509566BE">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 部门决算情况说明</w:t>
      </w:r>
    </w:p>
    <w:p w14:paraId="2071D7FF">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6FEE0F6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2024年度收入总计291.42万元，其中：本年收入合计283.65万元，使用非财政拨款结余（含专用结余）0.00万元，年初结转和结余7.77万元。</w:t>
      </w:r>
    </w:p>
    <w:p w14:paraId="3CDE3D0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2024年度支出总计291.42万元，其中：本年支出合计287.16万元，结余分配0.00万元，年末结转和结余4.26万元。</w:t>
      </w:r>
    </w:p>
    <w:p w14:paraId="6EE7FBE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收入支出总体与上年相比，减少846.99万元，下降74.40%，主要原因是：</w:t>
      </w:r>
      <w:r>
        <w:rPr>
          <w:rFonts w:hint="eastAsia" w:ascii="仿宋_GB2312" w:eastAsia="仿宋_GB2312"/>
          <w:b w:val="0"/>
          <w:sz w:val="32"/>
          <w:szCs w:val="32"/>
          <w:lang w:val="en-US" w:eastAsia="zh-CN"/>
        </w:rPr>
        <w:t>本年</w:t>
      </w:r>
      <w:r>
        <w:rPr>
          <w:rFonts w:ascii="仿宋_GB2312" w:eastAsia="仿宋_GB2312"/>
          <w:b w:val="0"/>
          <w:sz w:val="32"/>
          <w:szCs w:val="32"/>
        </w:rPr>
        <w:t>学校教师分流，</w:t>
      </w:r>
      <w:r>
        <w:rPr>
          <w:rFonts w:hint="eastAsia" w:ascii="仿宋_GB2312" w:eastAsia="仿宋_GB2312"/>
          <w:b w:val="0"/>
          <w:sz w:val="32"/>
          <w:szCs w:val="32"/>
          <w:lang w:val="en-US" w:eastAsia="zh-CN"/>
        </w:rPr>
        <w:t>37名教师</w:t>
      </w:r>
      <w:r>
        <w:rPr>
          <w:rFonts w:ascii="仿宋_GB2312" w:eastAsia="仿宋_GB2312"/>
          <w:b w:val="0"/>
          <w:sz w:val="32"/>
          <w:szCs w:val="32"/>
        </w:rPr>
        <w:t>分别调入其他学校任教</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基本工资、津贴补贴、奖金等人员经费减少</w:t>
      </w:r>
      <w:r>
        <w:rPr>
          <w:rFonts w:ascii="仿宋_GB2312" w:eastAsia="仿宋_GB2312"/>
          <w:b w:val="0"/>
          <w:sz w:val="32"/>
          <w:szCs w:val="32"/>
        </w:rPr>
        <w:t>。</w:t>
      </w:r>
    </w:p>
    <w:p w14:paraId="1B24B8C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558DB43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本年收入283.65万元，其中：财政拨款收入277.67万元,占97.89%；上级补助收入0.00万元,占0.00%；事业收入0.00万元，占0.00%；经营收入0.00万元,占0.00%；附属单位上缴收入0.00万元，占0.00%；其他收入5.98万元，占2.11%。</w:t>
      </w:r>
    </w:p>
    <w:p w14:paraId="1F2443B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18C8E1E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本年支出287.16万元，其中：基本支出271.14万元，占94.42%；项目支出16.02万元，占5.58%；上缴上级支出0.00万元，占0.00%；经营支出0.00万元，占0.00%；对附属单位补助支出0.00万元，占0.00%。</w:t>
      </w:r>
    </w:p>
    <w:p w14:paraId="370B86CA">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2C7FD79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2024年度财政拨款收入总计280.80万元，其中：年初财政拨款结转和结余3.12万元，本年财政拨款收入277.67万元。财政拨款支出总计280.80万元，其中：年末财政拨款结转和结余3.12万元，本年财政拨款支出277.67万元。</w:t>
      </w:r>
    </w:p>
    <w:p w14:paraId="3E232D1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财政拨款收入支出总体与上年相比，减少845.19万元，下降75.06%，主要原因是</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本年</w:t>
      </w:r>
      <w:r>
        <w:rPr>
          <w:rFonts w:ascii="仿宋_GB2312" w:eastAsia="仿宋_GB2312"/>
          <w:b w:val="0"/>
          <w:sz w:val="32"/>
          <w:szCs w:val="32"/>
        </w:rPr>
        <w:t>学校教师分流，</w:t>
      </w:r>
      <w:r>
        <w:rPr>
          <w:rFonts w:hint="eastAsia" w:ascii="仿宋_GB2312" w:eastAsia="仿宋_GB2312"/>
          <w:b w:val="0"/>
          <w:sz w:val="32"/>
          <w:szCs w:val="32"/>
          <w:lang w:val="en-US" w:eastAsia="zh-CN"/>
        </w:rPr>
        <w:t>37名教师</w:t>
      </w:r>
      <w:r>
        <w:rPr>
          <w:rFonts w:ascii="仿宋_GB2312" w:eastAsia="仿宋_GB2312"/>
          <w:b w:val="0"/>
          <w:sz w:val="32"/>
          <w:szCs w:val="32"/>
        </w:rPr>
        <w:t>分别调入其他学校任教</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基本工资、津贴补贴、奖金等人员经费减少</w:t>
      </w:r>
      <w:r>
        <w:rPr>
          <w:rFonts w:ascii="仿宋_GB2312" w:eastAsia="仿宋_GB2312"/>
          <w:b w:val="0"/>
          <w:sz w:val="32"/>
          <w:szCs w:val="32"/>
        </w:rPr>
        <w:t>。与年初预算相比，年初预算数257.64万元，决算数280.80万元，预决算差异率8.99%，主要原因是：本年</w:t>
      </w:r>
      <w:r>
        <w:rPr>
          <w:rFonts w:hint="eastAsia" w:ascii="仿宋_GB2312" w:eastAsia="仿宋_GB2312"/>
          <w:b w:val="0"/>
          <w:sz w:val="32"/>
          <w:szCs w:val="32"/>
          <w:lang w:val="en-US" w:eastAsia="zh-CN"/>
        </w:rPr>
        <w:t>在职人员薪资调增，年中追加基本工资、津贴补贴、奖金等人员经费</w:t>
      </w:r>
      <w:r>
        <w:rPr>
          <w:rFonts w:ascii="仿宋_GB2312" w:eastAsia="仿宋_GB2312"/>
          <w:b w:val="0"/>
          <w:sz w:val="32"/>
          <w:szCs w:val="32"/>
        </w:rPr>
        <w:t>。</w:t>
      </w:r>
    </w:p>
    <w:p w14:paraId="59C3BA12">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4E8DFA06">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14:paraId="7B32846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2024年度一般公共预算财政拨款支出277.67万元，占本年支出合计的96.70%。与上年相比，减少845.19万元，下降75.27%，主要原因是：</w:t>
      </w:r>
      <w:r>
        <w:rPr>
          <w:rFonts w:hint="eastAsia" w:ascii="仿宋_GB2312" w:eastAsia="仿宋_GB2312"/>
          <w:b w:val="0"/>
          <w:sz w:val="32"/>
          <w:szCs w:val="32"/>
          <w:lang w:val="en-US" w:eastAsia="zh-CN"/>
        </w:rPr>
        <w:t>本年</w:t>
      </w:r>
      <w:r>
        <w:rPr>
          <w:rFonts w:ascii="仿宋_GB2312" w:eastAsia="仿宋_GB2312"/>
          <w:b w:val="0"/>
          <w:sz w:val="32"/>
          <w:szCs w:val="32"/>
        </w:rPr>
        <w:t>学校教师分流，</w:t>
      </w:r>
      <w:r>
        <w:rPr>
          <w:rFonts w:hint="eastAsia" w:ascii="仿宋_GB2312" w:eastAsia="仿宋_GB2312"/>
          <w:b w:val="0"/>
          <w:sz w:val="32"/>
          <w:szCs w:val="32"/>
          <w:lang w:val="en-US" w:eastAsia="zh-CN"/>
        </w:rPr>
        <w:t>37名教师</w:t>
      </w:r>
      <w:r>
        <w:rPr>
          <w:rFonts w:ascii="仿宋_GB2312" w:eastAsia="仿宋_GB2312"/>
          <w:b w:val="0"/>
          <w:sz w:val="32"/>
          <w:szCs w:val="32"/>
        </w:rPr>
        <w:t>分别调入其他学校任教</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基本工资、津贴补贴、奖金等人员经费减少</w:t>
      </w:r>
      <w:r>
        <w:rPr>
          <w:rFonts w:ascii="仿宋_GB2312" w:eastAsia="仿宋_GB2312"/>
          <w:b w:val="0"/>
          <w:sz w:val="32"/>
          <w:szCs w:val="32"/>
        </w:rPr>
        <w:t>。与年初预算相比，年初预算数257.64万元，决算数277.67万元，预决算差异率7.77%，主要原因是：本年</w:t>
      </w:r>
      <w:r>
        <w:rPr>
          <w:rFonts w:hint="eastAsia" w:ascii="仿宋_GB2312" w:eastAsia="仿宋_GB2312"/>
          <w:b w:val="0"/>
          <w:sz w:val="32"/>
          <w:szCs w:val="32"/>
          <w:lang w:val="en-US" w:eastAsia="zh-CN"/>
        </w:rPr>
        <w:t>在职人员薪资调增，年中追加基本工资、津贴补贴、奖金等人员经费</w:t>
      </w:r>
      <w:r>
        <w:rPr>
          <w:rFonts w:ascii="仿宋_GB2312" w:eastAsia="仿宋_GB2312"/>
          <w:b w:val="0"/>
          <w:sz w:val="32"/>
          <w:szCs w:val="32"/>
        </w:rPr>
        <w:t>。</w:t>
      </w:r>
    </w:p>
    <w:p w14:paraId="76FB7BB6">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14:paraId="03439CD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教育支出（类）240.61万元，占86.65%。</w:t>
      </w:r>
    </w:p>
    <w:p w14:paraId="0C42171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社会保障和就业支出（类）37.06万元，占13.35%。</w:t>
      </w:r>
    </w:p>
    <w:p w14:paraId="52E13DC8">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14:paraId="2DC0544B">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1、教育支出（类）普通教育（款）学前教育（项）：支出决算数为240.61万元，比上年决算增加151.54万元，增长170.14%，主要原因是：</w:t>
      </w:r>
      <w:r>
        <w:rPr>
          <w:rFonts w:hint="eastAsia" w:ascii="仿宋_GB2312" w:eastAsia="仿宋_GB2312"/>
          <w:b w:val="0"/>
          <w:sz w:val="32"/>
          <w:szCs w:val="32"/>
          <w:lang w:val="en-US" w:eastAsia="zh-CN"/>
        </w:rPr>
        <w:t>本年单位学前教育工作经费、小学教育工作经费增加</w:t>
      </w:r>
      <w:r>
        <w:rPr>
          <w:rFonts w:ascii="仿宋_GB2312" w:eastAsia="仿宋_GB2312"/>
          <w:b w:val="0"/>
          <w:sz w:val="32"/>
          <w:szCs w:val="32"/>
        </w:rPr>
        <w:t>。</w:t>
      </w:r>
    </w:p>
    <w:p w14:paraId="244C006B">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2、教育支出（类）普通教育（款）小学教育（项）：支出决算数为0.00万元，比上年决算减少922.77万元，下降100.00%，主要原因是：</w:t>
      </w:r>
      <w:r>
        <w:rPr>
          <w:rFonts w:hint="eastAsia" w:ascii="仿宋_GB2312" w:eastAsia="仿宋_GB2312"/>
          <w:b w:val="0"/>
          <w:sz w:val="32"/>
          <w:szCs w:val="32"/>
          <w:lang w:val="en-US" w:eastAsia="zh-CN"/>
        </w:rPr>
        <w:t>本年</w:t>
      </w:r>
      <w:r>
        <w:rPr>
          <w:rFonts w:ascii="仿宋_GB2312" w:eastAsia="仿宋_GB2312"/>
          <w:b w:val="0"/>
          <w:sz w:val="32"/>
          <w:szCs w:val="32"/>
        </w:rPr>
        <w:t>学校教师分流，</w:t>
      </w:r>
      <w:r>
        <w:rPr>
          <w:rFonts w:hint="eastAsia" w:ascii="仿宋_GB2312" w:eastAsia="仿宋_GB2312"/>
          <w:b w:val="0"/>
          <w:sz w:val="32"/>
          <w:szCs w:val="32"/>
          <w:lang w:val="en-US" w:eastAsia="zh-CN"/>
        </w:rPr>
        <w:t>37名教师</w:t>
      </w:r>
      <w:r>
        <w:rPr>
          <w:rFonts w:ascii="仿宋_GB2312" w:eastAsia="仿宋_GB2312"/>
          <w:b w:val="0"/>
          <w:sz w:val="32"/>
          <w:szCs w:val="32"/>
        </w:rPr>
        <w:t>分别调入其他学校任教</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基本工资、津贴补贴、奖金等人员经费减少。</w:t>
      </w:r>
    </w:p>
    <w:p w14:paraId="7BE752C1">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3、教育支出（类）教育费附加安排的支出（款）其他教育费附加安排的支出（项）：支出决算数为0.00万元，比上年决算减少4.11万元，下降100.00%，主要原因是：</w:t>
      </w:r>
      <w:r>
        <w:rPr>
          <w:rFonts w:hint="eastAsia" w:ascii="仿宋_GB2312" w:eastAsia="仿宋_GB2312"/>
          <w:b w:val="0"/>
          <w:sz w:val="32"/>
          <w:szCs w:val="32"/>
          <w:lang w:val="en-US" w:eastAsia="zh-CN"/>
        </w:rPr>
        <w:t>本年单位减少</w:t>
      </w:r>
      <w:r>
        <w:rPr>
          <w:rFonts w:hint="eastAsia" w:ascii="仿宋_GB2312" w:eastAsia="仿宋_GB2312"/>
          <w:b w:val="0"/>
          <w:sz w:val="32"/>
          <w:szCs w:val="32"/>
        </w:rPr>
        <w:t>课后服务经费</w:t>
      </w:r>
      <w:r>
        <w:rPr>
          <w:rFonts w:hint="eastAsia" w:ascii="仿宋_GB2312" w:eastAsia="仿宋_GB2312"/>
          <w:b w:val="0"/>
          <w:sz w:val="32"/>
          <w:szCs w:val="32"/>
          <w:lang w:val="en-US" w:eastAsia="zh-CN"/>
        </w:rPr>
        <w:t>项目</w:t>
      </w:r>
      <w:r>
        <w:rPr>
          <w:rFonts w:ascii="仿宋_GB2312" w:eastAsia="仿宋_GB2312"/>
          <w:b w:val="0"/>
          <w:sz w:val="32"/>
          <w:szCs w:val="32"/>
        </w:rPr>
        <w:t>。</w:t>
      </w:r>
    </w:p>
    <w:p w14:paraId="08AA00DC">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4、社会保障和就业支出（类）行政事业单位养老支出（款）事业单位离退休（项）：支出决算数为0.00万元，比上年决算减少40.06万元，下降100.00%，主要原因是：</w:t>
      </w:r>
      <w:r>
        <w:rPr>
          <w:rFonts w:hint="eastAsia" w:ascii="仿宋_GB2312" w:eastAsia="仿宋_GB2312"/>
          <w:b w:val="0"/>
          <w:sz w:val="32"/>
          <w:szCs w:val="32"/>
        </w:rPr>
        <w:t>单位本年功能科目调整，将</w:t>
      </w:r>
      <w:r>
        <w:rPr>
          <w:rFonts w:hint="eastAsia" w:ascii="仿宋_GB2312" w:eastAsia="仿宋_GB2312"/>
          <w:b w:val="0"/>
          <w:sz w:val="32"/>
          <w:szCs w:val="32"/>
          <w:lang w:val="en-US" w:eastAsia="zh-CN"/>
        </w:rPr>
        <w:t>事业</w:t>
      </w:r>
      <w:r>
        <w:rPr>
          <w:rFonts w:hint="eastAsia" w:ascii="仿宋_GB2312" w:eastAsia="仿宋_GB2312"/>
          <w:b w:val="0"/>
          <w:sz w:val="32"/>
          <w:szCs w:val="32"/>
        </w:rPr>
        <w:t>单位离退休款项调整至</w:t>
      </w:r>
      <w:r>
        <w:rPr>
          <w:rFonts w:ascii="仿宋_GB2312" w:eastAsia="仿宋_GB2312"/>
          <w:b w:val="0"/>
          <w:sz w:val="32"/>
          <w:szCs w:val="32"/>
        </w:rPr>
        <w:t>学前教育</w:t>
      </w:r>
      <w:r>
        <w:rPr>
          <w:rFonts w:hint="eastAsia" w:ascii="仿宋_GB2312" w:eastAsia="仿宋_GB2312"/>
          <w:b w:val="0"/>
          <w:sz w:val="32"/>
          <w:szCs w:val="32"/>
        </w:rPr>
        <w:t>款项中核算，导致此项经费减少</w:t>
      </w:r>
      <w:r>
        <w:rPr>
          <w:rFonts w:ascii="仿宋_GB2312" w:eastAsia="仿宋_GB2312"/>
          <w:b w:val="0"/>
          <w:sz w:val="32"/>
          <w:szCs w:val="32"/>
        </w:rPr>
        <w:t>。</w:t>
      </w:r>
    </w:p>
    <w:p w14:paraId="6044F479">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5、社会保障和就业支出（类）行政事业单位养老支出（款）机关事业单位职业年金缴费支出（项）：支出决算数为6.24万元，比上年决算减少0.50万元，下降7.42%，主要原因是：</w:t>
      </w:r>
      <w:r>
        <w:rPr>
          <w:rFonts w:hint="eastAsia" w:ascii="仿宋_GB2312" w:eastAsia="仿宋_GB2312"/>
          <w:b w:val="0"/>
          <w:sz w:val="32"/>
          <w:szCs w:val="32"/>
          <w:lang w:val="en-US" w:eastAsia="zh-CN"/>
        </w:rPr>
        <w:t>本年退休人员一次性</w:t>
      </w:r>
      <w:r>
        <w:rPr>
          <w:rFonts w:ascii="仿宋_GB2312" w:eastAsia="仿宋_GB2312"/>
          <w:b w:val="0"/>
          <w:sz w:val="32"/>
          <w:szCs w:val="32"/>
        </w:rPr>
        <w:t>职业年金缴费支出</w:t>
      </w:r>
      <w:r>
        <w:rPr>
          <w:rFonts w:hint="eastAsia" w:ascii="仿宋_GB2312" w:eastAsia="仿宋_GB2312"/>
          <w:b w:val="0"/>
          <w:sz w:val="32"/>
          <w:szCs w:val="32"/>
          <w:lang w:val="en-US" w:eastAsia="zh-CN"/>
        </w:rPr>
        <w:t>减少</w:t>
      </w:r>
      <w:r>
        <w:rPr>
          <w:rFonts w:ascii="仿宋_GB2312" w:eastAsia="仿宋_GB2312"/>
          <w:b w:val="0"/>
          <w:sz w:val="32"/>
          <w:szCs w:val="32"/>
        </w:rPr>
        <w:t>。</w:t>
      </w:r>
    </w:p>
    <w:p w14:paraId="116AAA52">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6、社会保障和就业支出（类）抚恤（款）死亡抚恤（项）：支出决算数为30.83万元，比上年决算减少29.28万元，下降48.71%，主要原因是：本年度死亡人数较上年度减少</w:t>
      </w:r>
      <w:r>
        <w:rPr>
          <w:rFonts w:hint="eastAsia" w:ascii="仿宋_GB2312" w:eastAsia="仿宋_GB2312"/>
          <w:b w:val="0"/>
          <w:sz w:val="32"/>
          <w:szCs w:val="32"/>
          <w:lang w:eastAsia="zh-CN"/>
        </w:rPr>
        <w:t>，</w:t>
      </w:r>
      <w:r>
        <w:rPr>
          <w:rFonts w:ascii="仿宋_GB2312" w:eastAsia="仿宋_GB2312"/>
          <w:b w:val="0"/>
          <w:sz w:val="32"/>
          <w:szCs w:val="32"/>
        </w:rPr>
        <w:t>死亡抚恤</w:t>
      </w:r>
      <w:r>
        <w:rPr>
          <w:rFonts w:hint="eastAsia" w:ascii="仿宋_GB2312" w:eastAsia="仿宋_GB2312"/>
          <w:b w:val="0"/>
          <w:sz w:val="32"/>
          <w:szCs w:val="32"/>
          <w:lang w:val="en-US" w:eastAsia="zh-CN"/>
        </w:rPr>
        <w:t>金减少</w:t>
      </w:r>
      <w:r>
        <w:rPr>
          <w:rFonts w:ascii="仿宋_GB2312" w:eastAsia="仿宋_GB2312"/>
          <w:b w:val="0"/>
          <w:sz w:val="32"/>
          <w:szCs w:val="32"/>
        </w:rPr>
        <w:t>。</w:t>
      </w:r>
    </w:p>
    <w:p w14:paraId="1EC0817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002B36A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271.14万元，其中：人员经费259.13万元，包括：基本工资、津贴补贴、奖金、机关事业单位基本养老保险缴费、职业年金缴费、职工基本医疗保险缴费、其他社会保障缴费、住房公积金、退休费、抚恤金和生活补助。</w:t>
      </w:r>
    </w:p>
    <w:p w14:paraId="281C614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公用经费12.01万元，包括：电费、取暖费和工会经费。</w:t>
      </w:r>
    </w:p>
    <w:p w14:paraId="67B4197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3818915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6AD9946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0FE83E9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065412D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47A0C1D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2024年度财政拨款“三公”经费支出0.00万元，与上年相比无变化，主要原因是：</w:t>
      </w:r>
      <w:r>
        <w:rPr>
          <w:rFonts w:hint="eastAsia" w:ascii="仿宋_GB2312" w:eastAsia="仿宋_GB2312"/>
          <w:b w:val="0"/>
          <w:sz w:val="32"/>
          <w:szCs w:val="32"/>
        </w:rPr>
        <w:t>我单位上年度与本年度均无</w:t>
      </w:r>
      <w:r>
        <w:rPr>
          <w:rFonts w:hint="eastAsia" w:ascii="仿宋_GB2312" w:eastAsia="仿宋_GB2312"/>
          <w:b w:val="0"/>
          <w:sz w:val="32"/>
          <w:szCs w:val="32"/>
          <w:lang w:val="en-US" w:eastAsia="zh-CN"/>
        </w:rPr>
        <w:t>项</w:t>
      </w:r>
      <w:r>
        <w:rPr>
          <w:rFonts w:hint="eastAsia" w:ascii="仿宋_GB2312" w:eastAsia="仿宋_GB2312"/>
          <w:b w:val="0"/>
          <w:sz w:val="32"/>
          <w:szCs w:val="32"/>
        </w:rPr>
        <w:t>经费</w:t>
      </w:r>
      <w:r>
        <w:rPr>
          <w:rFonts w:ascii="仿宋_GB2312" w:eastAsia="仿宋_GB2312"/>
          <w:b w:val="0"/>
          <w:sz w:val="32"/>
          <w:szCs w:val="32"/>
        </w:rPr>
        <w:t>。其中：因公出国（境）费支出0.00万元,占0.00%，与上年相比无变化，主要原因是：</w:t>
      </w:r>
      <w:r>
        <w:rPr>
          <w:rFonts w:hint="eastAsia" w:ascii="仿宋_GB2312" w:eastAsia="仿宋_GB2312"/>
          <w:b w:val="0"/>
          <w:sz w:val="32"/>
          <w:szCs w:val="32"/>
        </w:rPr>
        <w:t>我单位上年度与本年度均无</w:t>
      </w:r>
      <w:r>
        <w:rPr>
          <w:rFonts w:hint="eastAsia" w:ascii="仿宋_GB2312" w:eastAsia="仿宋_GB2312"/>
          <w:b w:val="0"/>
          <w:sz w:val="32"/>
          <w:szCs w:val="32"/>
          <w:lang w:val="en-US" w:eastAsia="zh-CN"/>
        </w:rPr>
        <w:t>项</w:t>
      </w:r>
      <w:r>
        <w:rPr>
          <w:rFonts w:hint="eastAsia" w:ascii="仿宋_GB2312" w:eastAsia="仿宋_GB2312"/>
          <w:b w:val="0"/>
          <w:sz w:val="32"/>
          <w:szCs w:val="32"/>
        </w:rPr>
        <w:t>经费</w:t>
      </w:r>
      <w:r>
        <w:rPr>
          <w:rFonts w:ascii="仿宋_GB2312" w:eastAsia="仿宋_GB2312"/>
          <w:b w:val="0"/>
          <w:sz w:val="32"/>
          <w:szCs w:val="32"/>
        </w:rPr>
        <w:t>；公务用车购置及运行维护费支出0.00万元，占0.00%，与上年相比无变化，主要原因是：</w:t>
      </w:r>
      <w:r>
        <w:rPr>
          <w:rFonts w:hint="eastAsia" w:ascii="仿宋_GB2312" w:eastAsia="仿宋_GB2312"/>
          <w:b w:val="0"/>
          <w:sz w:val="32"/>
          <w:szCs w:val="32"/>
        </w:rPr>
        <w:t>我单位上年度与本年度均无</w:t>
      </w:r>
      <w:r>
        <w:rPr>
          <w:rFonts w:hint="eastAsia" w:ascii="仿宋_GB2312" w:eastAsia="仿宋_GB2312"/>
          <w:b w:val="0"/>
          <w:sz w:val="32"/>
          <w:szCs w:val="32"/>
          <w:lang w:val="en-US" w:eastAsia="zh-CN"/>
        </w:rPr>
        <w:t>项</w:t>
      </w:r>
      <w:r>
        <w:rPr>
          <w:rFonts w:hint="eastAsia" w:ascii="仿宋_GB2312" w:eastAsia="仿宋_GB2312"/>
          <w:b w:val="0"/>
          <w:sz w:val="32"/>
          <w:szCs w:val="32"/>
        </w:rPr>
        <w:t>经费</w:t>
      </w:r>
      <w:r>
        <w:rPr>
          <w:rFonts w:ascii="仿宋_GB2312" w:eastAsia="仿宋_GB2312"/>
          <w:b w:val="0"/>
          <w:sz w:val="32"/>
          <w:szCs w:val="32"/>
        </w:rPr>
        <w:t>；公务接待费支出0.00万元，占0.00%，与上年相比无变化，主要原因是：</w:t>
      </w:r>
      <w:r>
        <w:rPr>
          <w:rFonts w:hint="eastAsia" w:ascii="仿宋_GB2312" w:eastAsia="仿宋_GB2312"/>
          <w:b w:val="0"/>
          <w:sz w:val="32"/>
          <w:szCs w:val="32"/>
        </w:rPr>
        <w:t>我单位上年度与本年度均无</w:t>
      </w:r>
      <w:r>
        <w:rPr>
          <w:rFonts w:hint="eastAsia" w:ascii="仿宋_GB2312" w:eastAsia="仿宋_GB2312"/>
          <w:b w:val="0"/>
          <w:sz w:val="32"/>
          <w:szCs w:val="32"/>
          <w:lang w:val="en-US" w:eastAsia="zh-CN"/>
        </w:rPr>
        <w:t>项</w:t>
      </w:r>
      <w:r>
        <w:rPr>
          <w:rFonts w:hint="eastAsia" w:ascii="仿宋_GB2312" w:eastAsia="仿宋_GB2312"/>
          <w:b w:val="0"/>
          <w:sz w:val="32"/>
          <w:szCs w:val="32"/>
        </w:rPr>
        <w:t>经费</w:t>
      </w:r>
      <w:r>
        <w:rPr>
          <w:rFonts w:ascii="仿宋_GB2312" w:eastAsia="仿宋_GB2312"/>
          <w:b w:val="0"/>
          <w:sz w:val="32"/>
          <w:szCs w:val="32"/>
        </w:rPr>
        <w:t>。</w:t>
      </w:r>
    </w:p>
    <w:p w14:paraId="449528CF">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781236E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因公出国（境）费支出0.00万元，开支内容包括本</w:t>
      </w:r>
      <w:r>
        <w:rPr>
          <w:rFonts w:hint="eastAsia" w:ascii="仿宋_GB2312" w:eastAsia="仿宋_GB2312"/>
          <w:b w:val="0"/>
          <w:sz w:val="32"/>
          <w:szCs w:val="32"/>
          <w:lang w:val="en-US" w:eastAsia="zh-CN"/>
        </w:rPr>
        <w:t>单位</w:t>
      </w:r>
      <w:r>
        <w:rPr>
          <w:rFonts w:ascii="仿宋_GB2312" w:eastAsia="仿宋_GB2312"/>
          <w:b w:val="0"/>
          <w:sz w:val="32"/>
          <w:szCs w:val="32"/>
        </w:rPr>
        <w:t>无因公出国（境）费。单位全年安排的因公出国（境）团组0个，因公出国（境）0人次。</w:t>
      </w:r>
    </w:p>
    <w:p w14:paraId="3A4DC07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公务用车购置及运行维护费0.00万元，其中：公务用车购置费0.00万元，公务用车运行维护费0.00万元。公务用车运行维护费开支内容包括本</w:t>
      </w:r>
      <w:r>
        <w:rPr>
          <w:rFonts w:hint="eastAsia" w:ascii="仿宋_GB2312" w:eastAsia="仿宋_GB2312"/>
          <w:b w:val="0"/>
          <w:sz w:val="32"/>
          <w:szCs w:val="32"/>
          <w:lang w:val="en-US" w:eastAsia="zh-CN"/>
        </w:rPr>
        <w:t>单位</w:t>
      </w:r>
      <w:r>
        <w:rPr>
          <w:rFonts w:ascii="仿宋_GB2312" w:eastAsia="仿宋_GB2312"/>
          <w:b w:val="0"/>
          <w:sz w:val="32"/>
          <w:szCs w:val="32"/>
        </w:rPr>
        <w:t>无公务用车运行维护费。公务用车购置数0辆，公务用车保有量0辆。国有资产占用情况中固定资产车辆0辆，与公务用车保有量差异原因是：</w:t>
      </w:r>
      <w:r>
        <w:rPr>
          <w:rFonts w:hint="eastAsia" w:ascii="仿宋_GB2312" w:eastAsia="仿宋_GB2312"/>
          <w:b w:val="0"/>
          <w:sz w:val="32"/>
          <w:szCs w:val="32"/>
        </w:rPr>
        <w:t>本单位固定资产车辆与公务用车保有量一致无差异</w:t>
      </w:r>
      <w:r>
        <w:rPr>
          <w:rFonts w:ascii="仿宋_GB2312" w:eastAsia="仿宋_GB2312"/>
          <w:b w:val="0"/>
          <w:sz w:val="32"/>
          <w:szCs w:val="32"/>
        </w:rPr>
        <w:t>。</w:t>
      </w:r>
    </w:p>
    <w:p w14:paraId="716484C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公务接待费0.00万元，开支内容包括本</w:t>
      </w:r>
      <w:r>
        <w:rPr>
          <w:rFonts w:hint="eastAsia" w:ascii="仿宋_GB2312" w:eastAsia="仿宋_GB2312"/>
          <w:b w:val="0"/>
          <w:sz w:val="32"/>
          <w:szCs w:val="32"/>
          <w:lang w:val="en-US" w:eastAsia="zh-CN"/>
        </w:rPr>
        <w:t>单位</w:t>
      </w:r>
      <w:r>
        <w:rPr>
          <w:rFonts w:ascii="仿宋_GB2312" w:eastAsia="仿宋_GB2312"/>
          <w:b w:val="0"/>
          <w:sz w:val="32"/>
          <w:szCs w:val="32"/>
        </w:rPr>
        <w:t>无公务接待费。单位全年安排的国内公务接待0批次，0人次。</w:t>
      </w:r>
    </w:p>
    <w:p w14:paraId="6AE7B1C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与全年预算相比，财政拨款“三公”经费支出全年预算数0.00万元，决算数0.00万元，预决算差异率0.00%，主要原因是：</w:t>
      </w:r>
      <w:r>
        <w:rPr>
          <w:rFonts w:hint="eastAsia" w:ascii="仿宋_GB2312" w:eastAsia="仿宋_GB2312"/>
          <w:b w:val="0"/>
          <w:sz w:val="32"/>
          <w:szCs w:val="32"/>
        </w:rPr>
        <w:t>严格按照预算执行，预决算对比无差异</w:t>
      </w:r>
      <w:r>
        <w:rPr>
          <w:rFonts w:ascii="仿宋_GB2312" w:eastAsia="仿宋_GB2312"/>
          <w:b w:val="0"/>
          <w:sz w:val="32"/>
          <w:szCs w:val="32"/>
        </w:rPr>
        <w:t>。其中：因公出国（境）费全年预算数0.00万元，决算数0.00万元，预决算差异率0.00%，主要原因是：</w:t>
      </w:r>
      <w:r>
        <w:rPr>
          <w:rFonts w:hint="eastAsia" w:ascii="仿宋_GB2312" w:eastAsia="仿宋_GB2312"/>
          <w:b w:val="0"/>
          <w:sz w:val="32"/>
          <w:szCs w:val="32"/>
        </w:rPr>
        <w:t>严格按照预算执行，预决算对比无差异</w:t>
      </w:r>
      <w:r>
        <w:rPr>
          <w:rFonts w:ascii="仿宋_GB2312" w:eastAsia="仿宋_GB2312"/>
          <w:b w:val="0"/>
          <w:sz w:val="32"/>
          <w:szCs w:val="32"/>
        </w:rPr>
        <w:t>；公务用车购置费全年预算数0.00万元，决算数0.00万元，预决算差异率0.00%，主要原因是：</w:t>
      </w:r>
      <w:r>
        <w:rPr>
          <w:rFonts w:hint="eastAsia" w:ascii="仿宋_GB2312" w:eastAsia="仿宋_GB2312"/>
          <w:b w:val="0"/>
          <w:sz w:val="32"/>
          <w:szCs w:val="32"/>
        </w:rPr>
        <w:t>严格按照预算执行，预决算对比无差异</w:t>
      </w:r>
      <w:r>
        <w:rPr>
          <w:rFonts w:ascii="仿宋_GB2312" w:eastAsia="仿宋_GB2312"/>
          <w:b w:val="0"/>
          <w:sz w:val="32"/>
          <w:szCs w:val="32"/>
        </w:rPr>
        <w:t>；公务用车运行维护费全年预算数0.00万元，决算数0.00万元，预决算差异率0.00%，主要原因是：</w:t>
      </w:r>
      <w:r>
        <w:rPr>
          <w:rFonts w:hint="eastAsia" w:ascii="仿宋_GB2312" w:eastAsia="仿宋_GB2312"/>
          <w:b w:val="0"/>
          <w:sz w:val="32"/>
          <w:szCs w:val="32"/>
        </w:rPr>
        <w:t>严格按照预算执行，预决算对比无差异</w:t>
      </w:r>
      <w:r>
        <w:rPr>
          <w:rFonts w:ascii="仿宋_GB2312" w:eastAsia="仿宋_GB2312"/>
          <w:b w:val="0"/>
          <w:sz w:val="32"/>
          <w:szCs w:val="32"/>
        </w:rPr>
        <w:t>；公务接待费全年预算数0.00万元，决算数0.00万元，预决算差异率0.00%，主要原因是：</w:t>
      </w:r>
      <w:r>
        <w:rPr>
          <w:rFonts w:hint="eastAsia" w:ascii="仿宋_GB2312" w:eastAsia="仿宋_GB2312"/>
          <w:b w:val="0"/>
          <w:sz w:val="32"/>
          <w:szCs w:val="32"/>
        </w:rPr>
        <w:t>严格按照预算执行，预决算对比无差异</w:t>
      </w:r>
      <w:r>
        <w:rPr>
          <w:rFonts w:ascii="仿宋_GB2312" w:eastAsia="仿宋_GB2312"/>
          <w:b w:val="0"/>
          <w:sz w:val="32"/>
          <w:szCs w:val="32"/>
        </w:rPr>
        <w:t>。</w:t>
      </w:r>
    </w:p>
    <w:p w14:paraId="79B0081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2F8F5BDD">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14:paraId="48A39C8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2024年度木垒哈萨克自治县西吉尔镇中心学校单位（事业单位）公用经费支出12.01万元，比上年增加0.63万元，增长5.54%，主要原因是：本年度</w:t>
      </w:r>
      <w:r>
        <w:rPr>
          <w:rFonts w:hint="eastAsia" w:ascii="仿宋_GB2312" w:eastAsia="仿宋_GB2312"/>
          <w:b w:val="0"/>
          <w:sz w:val="32"/>
          <w:szCs w:val="32"/>
          <w:lang w:val="en-US" w:eastAsia="zh-CN"/>
        </w:rPr>
        <w:t>单位</w:t>
      </w:r>
      <w:r>
        <w:rPr>
          <w:rFonts w:ascii="仿宋_GB2312" w:eastAsia="仿宋_GB2312"/>
          <w:b w:val="0"/>
          <w:sz w:val="32"/>
          <w:szCs w:val="32"/>
        </w:rPr>
        <w:t>电费、取暖费增加。</w:t>
      </w:r>
    </w:p>
    <w:p w14:paraId="51C28EA2">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14:paraId="1FD2D7D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2024年度政府采购支出总额0.50万元，其中：政府采购货物支出0.00万元、政府采购工程支出0.30万元、政府采购服务支出0.20万元。</w:t>
      </w:r>
    </w:p>
    <w:p w14:paraId="6863BEE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授予中小企业合同金额0.50万元，占政府采购支出总额的100.00%，其中：授予小微企业合同金额0.50万元，占政府采购支出总额的100.00%。</w:t>
      </w:r>
    </w:p>
    <w:p w14:paraId="141C3F7E">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14:paraId="4161586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7,618.15平方米，价值681.73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b w:val="0"/>
          <w:sz w:val="32"/>
          <w:szCs w:val="32"/>
          <w:lang w:val="en-US" w:eastAsia="zh-CN"/>
        </w:rPr>
        <w:t>无其他用车</w:t>
      </w:r>
      <w:r>
        <w:rPr>
          <w:rFonts w:ascii="仿宋_GB2312" w:eastAsia="仿宋_GB2312"/>
          <w:b w:val="0"/>
          <w:sz w:val="32"/>
          <w:szCs w:val="32"/>
        </w:rPr>
        <w:t>;单价100万元（含）以上设备（不含车辆）0台（套）。</w:t>
      </w:r>
    </w:p>
    <w:p w14:paraId="709E5BC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3C32A9DE">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根据预算绩效管理要求，本单位2024年度预算绩效管理形成整体支出绩效自评表1个，全年预算总额287.16万元，实际执行总额287.16万元；预算绩效评价项目</w:t>
      </w:r>
      <w:r>
        <w:rPr>
          <w:rFonts w:hint="eastAsia" w:ascii="仿宋_GB2312" w:eastAsia="仿宋_GB2312"/>
          <w:b w:val="0"/>
          <w:sz w:val="32"/>
          <w:szCs w:val="32"/>
          <w:lang w:val="en-US" w:eastAsia="zh-CN"/>
        </w:rPr>
        <w:t>0</w:t>
      </w:r>
      <w:r>
        <w:rPr>
          <w:rFonts w:ascii="仿宋_GB2312" w:eastAsia="仿宋_GB2312"/>
          <w:b w:val="0"/>
          <w:sz w:val="32"/>
          <w:szCs w:val="32"/>
        </w:rPr>
        <w:t>个，全年预算数</w:t>
      </w:r>
      <w:r>
        <w:rPr>
          <w:rFonts w:hint="eastAsia" w:ascii="仿宋_GB2312" w:eastAsia="仿宋_GB2312"/>
          <w:b w:val="0"/>
          <w:sz w:val="32"/>
          <w:szCs w:val="32"/>
          <w:lang w:val="en-US" w:eastAsia="zh-CN"/>
        </w:rPr>
        <w:t>0.00</w:t>
      </w:r>
      <w:bookmarkStart w:id="0" w:name="_GoBack"/>
      <w:bookmarkEnd w:id="0"/>
      <w:r>
        <w:rPr>
          <w:rFonts w:ascii="仿宋_GB2312" w:eastAsia="仿宋_GB2312"/>
          <w:b w:val="0"/>
          <w:sz w:val="32"/>
          <w:szCs w:val="32"/>
        </w:rPr>
        <w:t>万元，全年执行数</w:t>
      </w:r>
      <w:r>
        <w:rPr>
          <w:rFonts w:hint="eastAsia" w:ascii="仿宋_GB2312" w:eastAsia="仿宋_GB2312"/>
          <w:b w:val="0"/>
          <w:sz w:val="32"/>
          <w:szCs w:val="32"/>
          <w:lang w:val="en-US" w:eastAsia="zh-CN"/>
        </w:rPr>
        <w:t>0.00</w:t>
      </w:r>
      <w:r>
        <w:rPr>
          <w:rFonts w:ascii="仿宋_GB2312" w:eastAsia="仿宋_GB2312"/>
          <w:b w:val="0"/>
          <w:sz w:val="32"/>
          <w:szCs w:val="32"/>
        </w:rPr>
        <w:t>万元。预算绩效管理取得的成效：</w:t>
      </w:r>
      <w:r>
        <w:rPr>
          <w:rFonts w:hint="eastAsia" w:ascii="仿宋_GB2312" w:eastAsia="仿宋_GB2312"/>
          <w:b w:val="0"/>
          <w:sz w:val="32"/>
          <w:szCs w:val="32"/>
          <w:lang w:val="en-US" w:eastAsia="zh-CN"/>
        </w:rPr>
        <w:t>一是</w:t>
      </w:r>
      <w:r>
        <w:rPr>
          <w:rFonts w:ascii="仿宋_GB2312" w:eastAsia="仿宋_GB2312"/>
          <w:b w:val="0"/>
          <w:sz w:val="32"/>
          <w:szCs w:val="32"/>
        </w:rPr>
        <w:t>2024年度我单位努力做财政预算收入、支出以及各项目的管理工作，将预算及时公开到相关的信息网络平台，并在执行过程中积极对执行情况进行监控，对预算的资金进行全方位的监督和管理，使每一笔资金都能起到最大的使用效益。结合我校实际情合理分配资金，以达到合理高效地运用资金、提升资金的产出效果、节约成本与资源、提高部门的办事效率的目的</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二是</w:t>
      </w:r>
      <w:r>
        <w:rPr>
          <w:rFonts w:ascii="仿宋_GB2312" w:eastAsia="仿宋_GB2312"/>
          <w:b w:val="0"/>
          <w:sz w:val="32"/>
          <w:szCs w:val="32"/>
        </w:rPr>
        <w:t>在部门预算整体支出绩效方面都按规定严格执行，合理安排支出，使财政资金发挥出最大的效益。发现的问题及原因：</w:t>
      </w:r>
      <w:r>
        <w:rPr>
          <w:rFonts w:hint="eastAsia" w:ascii="仿宋_GB2312" w:eastAsia="仿宋_GB2312"/>
          <w:b w:val="0"/>
          <w:sz w:val="32"/>
          <w:szCs w:val="32"/>
          <w:lang w:val="en-US" w:eastAsia="zh-CN"/>
        </w:rPr>
        <w:t>一是</w:t>
      </w:r>
      <w:r>
        <w:rPr>
          <w:rFonts w:ascii="仿宋_GB2312" w:eastAsia="仿宋_GB2312"/>
          <w:b w:val="0"/>
          <w:sz w:val="32"/>
          <w:szCs w:val="32"/>
        </w:rPr>
        <w:t>教师专业发展受限</w:t>
      </w:r>
      <w:r>
        <w:rPr>
          <w:rFonts w:hint="eastAsia" w:ascii="仿宋_GB2312" w:eastAsia="仿宋_GB2312"/>
          <w:b w:val="0"/>
          <w:sz w:val="32"/>
          <w:szCs w:val="32"/>
          <w:lang w:eastAsia="zh-CN"/>
        </w:rPr>
        <w:t>，</w:t>
      </w:r>
      <w:r>
        <w:rPr>
          <w:rFonts w:ascii="仿宋_GB2312" w:eastAsia="仿宋_GB2312"/>
          <w:b w:val="0"/>
          <w:sz w:val="32"/>
          <w:szCs w:val="32"/>
        </w:rPr>
        <w:t>教师激励机制不健全</w:t>
      </w:r>
      <w:r>
        <w:rPr>
          <w:rFonts w:hint="eastAsia" w:ascii="仿宋_GB2312" w:eastAsia="仿宋_GB2312"/>
          <w:b w:val="0"/>
          <w:sz w:val="32"/>
          <w:szCs w:val="32"/>
          <w:lang w:eastAsia="zh-CN"/>
        </w:rPr>
        <w:t>，</w:t>
      </w:r>
      <w:r>
        <w:rPr>
          <w:rFonts w:ascii="仿宋_GB2312" w:eastAsia="仿宋_GB2312"/>
          <w:b w:val="0"/>
          <w:sz w:val="32"/>
          <w:szCs w:val="32"/>
        </w:rPr>
        <w:t>教学方法相对单一</w:t>
      </w:r>
      <w:r>
        <w:rPr>
          <w:rFonts w:hint="eastAsia" w:ascii="仿宋_GB2312" w:eastAsia="仿宋_GB2312"/>
          <w:b w:val="0"/>
          <w:sz w:val="32"/>
          <w:szCs w:val="32"/>
          <w:lang w:eastAsia="zh-CN"/>
        </w:rPr>
        <w:t>；二是绩效管理专业人员匮乏，规范管理有盲点。单位从事预算管理工作人员流动性强且素质整体不高，单位财务人员大多是兼职工作人员，即使是专职财务人员，推进绩效管理既缺乏工作经验也缺乏专业技能，难以做到程序规范、管理科学和绩效显著</w:t>
      </w:r>
      <w:r>
        <w:rPr>
          <w:rFonts w:ascii="仿宋_GB2312" w:eastAsia="仿宋_GB2312"/>
          <w:b w:val="0"/>
          <w:sz w:val="32"/>
          <w:szCs w:val="32"/>
        </w:rPr>
        <w:t>。下一步改进措施：</w:t>
      </w:r>
      <w:r>
        <w:rPr>
          <w:rFonts w:hint="eastAsia" w:ascii="仿宋_GB2312" w:eastAsia="仿宋_GB2312"/>
          <w:b w:val="0"/>
          <w:sz w:val="32"/>
          <w:szCs w:val="32"/>
          <w:lang w:val="en-US" w:eastAsia="zh-CN"/>
        </w:rPr>
        <w:t>一是</w:t>
      </w:r>
      <w:r>
        <w:rPr>
          <w:rFonts w:ascii="仿宋_GB2312" w:eastAsia="仿宋_GB2312"/>
          <w:b w:val="0"/>
          <w:sz w:val="32"/>
          <w:szCs w:val="32"/>
        </w:rPr>
        <w:t>强化教师专业培训</w:t>
      </w:r>
      <w:r>
        <w:rPr>
          <w:rFonts w:hint="eastAsia" w:ascii="仿宋_GB2312" w:eastAsia="仿宋_GB2312"/>
          <w:b w:val="0"/>
          <w:sz w:val="32"/>
          <w:szCs w:val="32"/>
          <w:lang w:eastAsia="zh-CN"/>
        </w:rPr>
        <w:t>，</w:t>
      </w:r>
      <w:r>
        <w:rPr>
          <w:rFonts w:ascii="仿宋_GB2312" w:eastAsia="仿宋_GB2312"/>
          <w:b w:val="0"/>
          <w:sz w:val="32"/>
          <w:szCs w:val="32"/>
        </w:rPr>
        <w:t>增强校本研修实效性</w:t>
      </w:r>
      <w:r>
        <w:rPr>
          <w:rFonts w:hint="eastAsia" w:ascii="仿宋_GB2312" w:eastAsia="仿宋_GB2312"/>
          <w:b w:val="0"/>
          <w:sz w:val="32"/>
          <w:szCs w:val="32"/>
          <w:lang w:eastAsia="zh-CN"/>
        </w:rPr>
        <w:t>，</w:t>
      </w:r>
      <w:r>
        <w:rPr>
          <w:rFonts w:ascii="仿宋_GB2312" w:eastAsia="仿宋_GB2312"/>
          <w:b w:val="0"/>
          <w:sz w:val="32"/>
          <w:szCs w:val="32"/>
        </w:rPr>
        <w:t>改进评价机制</w:t>
      </w:r>
      <w:r>
        <w:rPr>
          <w:rFonts w:hint="eastAsia" w:ascii="仿宋_GB2312" w:eastAsia="仿宋_GB2312"/>
          <w:b w:val="0"/>
          <w:sz w:val="32"/>
          <w:szCs w:val="32"/>
          <w:lang w:eastAsia="zh-CN"/>
        </w:rPr>
        <w:t>；二是术业有专攻，但预算绩效管理本身就和财务管理密不可分。因此可从各单位现有财务管理队伍中针对绩效管理培养专业人员，进一步强化绩效专管员责任意识，做好绩效相关工作，要求绩效专管员积极对接财政部门，高效完成绩效各个阶段相关工作</w:t>
      </w:r>
      <w:r>
        <w:rPr>
          <w:rFonts w:ascii="仿宋_GB2312" w:eastAsia="仿宋_GB2312"/>
          <w:b w:val="0"/>
          <w:sz w:val="32"/>
          <w:szCs w:val="32"/>
        </w:rPr>
        <w:t>。具体附部门整体支出绩效自评表。</w:t>
      </w:r>
    </w:p>
    <w:p w14:paraId="3F16704D">
      <w:pPr>
        <w:rPr>
          <w:rFonts w:ascii="仿宋_GB2312" w:eastAsia="仿宋_GB2312"/>
          <w:b w:val="0"/>
          <w:sz w:val="32"/>
          <w:szCs w:val="32"/>
        </w:rPr>
      </w:pPr>
      <w:r>
        <w:rPr>
          <w:rFonts w:ascii="仿宋_GB2312" w:eastAsia="仿宋_GB2312"/>
          <w:b w:val="0"/>
          <w:sz w:val="32"/>
          <w:szCs w:val="32"/>
        </w:rPr>
        <w:br w:type="page"/>
      </w:r>
    </w:p>
    <w:p w14:paraId="7702BBA1">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28"/>
          <w:szCs w:val="28"/>
          <w:lang w:eastAsia="zh-CN"/>
          <w14:ligatures w14:val="none"/>
        </w:rPr>
        <w:t>部门（单位）整体支出绩效目标自评表</w:t>
      </w:r>
    </w:p>
    <w:p w14:paraId="20C3E1FA">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935"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gridCol w:w="284"/>
      </w:tblGrid>
      <w:tr w14:paraId="1ED19A29">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1C50CBB">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17857A20">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木垒县西吉尔中心学校</w:t>
            </w:r>
          </w:p>
        </w:tc>
        <w:tc>
          <w:tcPr>
            <w:tcW w:w="284" w:type="dxa"/>
            <w:tcBorders>
              <w:top w:val="nil"/>
              <w:left w:val="nil"/>
              <w:bottom w:val="nil"/>
              <w:right w:val="nil"/>
            </w:tcBorders>
            <w:noWrap/>
            <w:vAlign w:val="center"/>
          </w:tcPr>
          <w:p w14:paraId="2C758515">
            <w:pPr>
              <w:widowControl/>
              <w:spacing w:after="0" w:line="240" w:lineRule="auto"/>
              <w:jc w:val="left"/>
              <w:rPr>
                <w:rFonts w:hint="eastAsia" w:ascii="宋体" w:hAnsi="宋体" w:eastAsia="宋体" w:cs="宋体"/>
                <w:b/>
                <w:bCs/>
                <w:kern w:val="0"/>
                <w:sz w:val="18"/>
                <w:szCs w:val="18"/>
                <w:lang w:eastAsia="zh-CN"/>
                <w14:ligatures w14:val="none"/>
              </w:rPr>
            </w:pPr>
          </w:p>
        </w:tc>
      </w:tr>
      <w:tr w14:paraId="5A8FDE6D">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50DCED9">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部门资金（万元）</w:t>
            </w:r>
          </w:p>
        </w:tc>
        <w:tc>
          <w:tcPr>
            <w:tcW w:w="1417" w:type="dxa"/>
            <w:tcBorders>
              <w:top w:val="nil"/>
              <w:left w:val="nil"/>
              <w:bottom w:val="single" w:color="auto" w:sz="4" w:space="0"/>
              <w:right w:val="single" w:color="auto" w:sz="4" w:space="0"/>
            </w:tcBorders>
            <w:vAlign w:val="center"/>
          </w:tcPr>
          <w:p w14:paraId="17394B75">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资金来源</w:t>
            </w:r>
          </w:p>
        </w:tc>
        <w:tc>
          <w:tcPr>
            <w:tcW w:w="1418" w:type="dxa"/>
            <w:tcBorders>
              <w:top w:val="nil"/>
              <w:left w:val="nil"/>
              <w:bottom w:val="single" w:color="auto" w:sz="4" w:space="0"/>
              <w:right w:val="single" w:color="auto" w:sz="4" w:space="0"/>
            </w:tcBorders>
            <w:vAlign w:val="center"/>
          </w:tcPr>
          <w:p w14:paraId="630E6FF3">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年初预算数</w:t>
            </w:r>
          </w:p>
        </w:tc>
        <w:tc>
          <w:tcPr>
            <w:tcW w:w="1276" w:type="dxa"/>
            <w:tcBorders>
              <w:top w:val="nil"/>
              <w:left w:val="nil"/>
              <w:bottom w:val="single" w:color="auto" w:sz="4" w:space="0"/>
              <w:right w:val="single" w:color="auto" w:sz="4" w:space="0"/>
            </w:tcBorders>
            <w:vAlign w:val="center"/>
          </w:tcPr>
          <w:p w14:paraId="0458A759">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全年预算数</w:t>
            </w:r>
          </w:p>
        </w:tc>
        <w:tc>
          <w:tcPr>
            <w:tcW w:w="1842" w:type="dxa"/>
            <w:tcBorders>
              <w:top w:val="nil"/>
              <w:left w:val="nil"/>
              <w:bottom w:val="single" w:color="auto" w:sz="4" w:space="0"/>
              <w:right w:val="single" w:color="auto" w:sz="4" w:space="0"/>
            </w:tcBorders>
            <w:vAlign w:val="center"/>
          </w:tcPr>
          <w:p w14:paraId="7D3CED6F">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全年执行数</w:t>
            </w:r>
          </w:p>
        </w:tc>
        <w:tc>
          <w:tcPr>
            <w:tcW w:w="993" w:type="dxa"/>
            <w:tcBorders>
              <w:top w:val="nil"/>
              <w:left w:val="nil"/>
              <w:bottom w:val="single" w:color="auto" w:sz="4" w:space="0"/>
              <w:right w:val="single" w:color="auto" w:sz="4" w:space="0"/>
            </w:tcBorders>
            <w:vAlign w:val="center"/>
          </w:tcPr>
          <w:p w14:paraId="437424C2">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分值权重</w:t>
            </w:r>
          </w:p>
        </w:tc>
        <w:tc>
          <w:tcPr>
            <w:tcW w:w="992" w:type="dxa"/>
            <w:tcBorders>
              <w:top w:val="nil"/>
              <w:left w:val="nil"/>
              <w:bottom w:val="single" w:color="auto" w:sz="4" w:space="0"/>
              <w:right w:val="single" w:color="auto" w:sz="4" w:space="0"/>
            </w:tcBorders>
            <w:vAlign w:val="center"/>
          </w:tcPr>
          <w:p w14:paraId="55A52B16">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执行率</w:t>
            </w:r>
          </w:p>
        </w:tc>
        <w:tc>
          <w:tcPr>
            <w:tcW w:w="720" w:type="dxa"/>
            <w:tcBorders>
              <w:top w:val="nil"/>
              <w:left w:val="nil"/>
              <w:bottom w:val="single" w:color="auto" w:sz="4" w:space="0"/>
              <w:right w:val="single" w:color="auto" w:sz="4" w:space="0"/>
            </w:tcBorders>
            <w:vAlign w:val="center"/>
          </w:tcPr>
          <w:p w14:paraId="57F681C3">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得分</w:t>
            </w:r>
          </w:p>
        </w:tc>
        <w:tc>
          <w:tcPr>
            <w:tcW w:w="284" w:type="dxa"/>
            <w:tcBorders>
              <w:top w:val="nil"/>
              <w:left w:val="nil"/>
              <w:bottom w:val="nil"/>
              <w:right w:val="nil"/>
            </w:tcBorders>
            <w:noWrap/>
            <w:vAlign w:val="center"/>
          </w:tcPr>
          <w:p w14:paraId="3676829B">
            <w:pPr>
              <w:widowControl/>
              <w:spacing w:after="0" w:line="240" w:lineRule="auto"/>
              <w:jc w:val="center"/>
              <w:rPr>
                <w:rFonts w:hint="eastAsia" w:ascii="宋体" w:hAnsi="宋体" w:eastAsia="宋体" w:cs="宋体"/>
                <w:b/>
                <w:bCs/>
                <w:kern w:val="0"/>
                <w:sz w:val="18"/>
                <w:szCs w:val="18"/>
                <w:lang w:eastAsia="zh-CN"/>
                <w14:ligatures w14:val="none"/>
              </w:rPr>
            </w:pPr>
          </w:p>
        </w:tc>
      </w:tr>
      <w:tr w14:paraId="6853F9ED">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3BACE85">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noWrap/>
            <w:vAlign w:val="center"/>
          </w:tcPr>
          <w:p w14:paraId="77ABCF55">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上级资金</w:t>
            </w:r>
          </w:p>
        </w:tc>
        <w:tc>
          <w:tcPr>
            <w:tcW w:w="1418" w:type="dxa"/>
            <w:tcBorders>
              <w:top w:val="nil"/>
              <w:left w:val="nil"/>
              <w:bottom w:val="single" w:color="auto" w:sz="4" w:space="0"/>
              <w:right w:val="single" w:color="auto" w:sz="4" w:space="0"/>
            </w:tcBorders>
            <w:vAlign w:val="center"/>
          </w:tcPr>
          <w:p w14:paraId="6C165386">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2.42</w:t>
            </w:r>
          </w:p>
        </w:tc>
        <w:tc>
          <w:tcPr>
            <w:tcW w:w="1276" w:type="dxa"/>
            <w:tcBorders>
              <w:top w:val="nil"/>
              <w:left w:val="nil"/>
              <w:bottom w:val="single" w:color="auto" w:sz="4" w:space="0"/>
              <w:right w:val="single" w:color="auto" w:sz="4" w:space="0"/>
            </w:tcBorders>
            <w:vAlign w:val="center"/>
          </w:tcPr>
          <w:p w14:paraId="20C2B70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2.42</w:t>
            </w:r>
          </w:p>
        </w:tc>
        <w:tc>
          <w:tcPr>
            <w:tcW w:w="1842" w:type="dxa"/>
            <w:tcBorders>
              <w:top w:val="nil"/>
              <w:left w:val="nil"/>
              <w:bottom w:val="single" w:color="auto" w:sz="4" w:space="0"/>
              <w:right w:val="single" w:color="auto" w:sz="4" w:space="0"/>
            </w:tcBorders>
            <w:vAlign w:val="center"/>
          </w:tcPr>
          <w:p w14:paraId="7CC6AE21">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2.42</w:t>
            </w:r>
          </w:p>
        </w:tc>
        <w:tc>
          <w:tcPr>
            <w:tcW w:w="993" w:type="dxa"/>
            <w:tcBorders>
              <w:top w:val="nil"/>
              <w:left w:val="nil"/>
              <w:bottom w:val="single" w:color="auto" w:sz="4" w:space="0"/>
              <w:right w:val="single" w:color="auto" w:sz="4" w:space="0"/>
            </w:tcBorders>
            <w:vAlign w:val="center"/>
          </w:tcPr>
          <w:p w14:paraId="68A1055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w:t>
            </w:r>
          </w:p>
        </w:tc>
        <w:tc>
          <w:tcPr>
            <w:tcW w:w="992" w:type="dxa"/>
            <w:tcBorders>
              <w:top w:val="nil"/>
              <w:left w:val="nil"/>
              <w:bottom w:val="single" w:color="auto" w:sz="4" w:space="0"/>
              <w:right w:val="single" w:color="auto" w:sz="4" w:space="0"/>
            </w:tcBorders>
            <w:vAlign w:val="center"/>
          </w:tcPr>
          <w:p w14:paraId="6A0F1CC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100%</w:t>
            </w:r>
          </w:p>
        </w:tc>
        <w:tc>
          <w:tcPr>
            <w:tcW w:w="720" w:type="dxa"/>
            <w:tcBorders>
              <w:top w:val="nil"/>
              <w:left w:val="nil"/>
              <w:bottom w:val="single" w:color="auto" w:sz="4" w:space="0"/>
              <w:right w:val="single" w:color="auto" w:sz="4" w:space="0"/>
            </w:tcBorders>
            <w:vAlign w:val="center"/>
          </w:tcPr>
          <w:p w14:paraId="2F6BD99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w:t>
            </w:r>
          </w:p>
        </w:tc>
        <w:tc>
          <w:tcPr>
            <w:tcW w:w="284" w:type="dxa"/>
            <w:tcBorders>
              <w:top w:val="nil"/>
              <w:left w:val="nil"/>
              <w:bottom w:val="nil"/>
              <w:right w:val="nil"/>
            </w:tcBorders>
            <w:noWrap/>
            <w:vAlign w:val="center"/>
          </w:tcPr>
          <w:p w14:paraId="5D4BA423">
            <w:pPr>
              <w:widowControl/>
              <w:spacing w:after="0" w:line="240" w:lineRule="auto"/>
              <w:jc w:val="center"/>
              <w:rPr>
                <w:rFonts w:hint="eastAsia" w:ascii="宋体" w:hAnsi="宋体" w:eastAsia="宋体" w:cs="宋体"/>
                <w:b/>
                <w:bCs/>
                <w:kern w:val="0"/>
                <w:sz w:val="18"/>
                <w:szCs w:val="18"/>
                <w:lang w:eastAsia="zh-CN"/>
                <w14:ligatures w14:val="none"/>
              </w:rPr>
            </w:pPr>
          </w:p>
        </w:tc>
      </w:tr>
      <w:tr w14:paraId="08308E26">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8A424CE">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7E248A65">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本级资金</w:t>
            </w:r>
          </w:p>
        </w:tc>
        <w:tc>
          <w:tcPr>
            <w:tcW w:w="1418" w:type="dxa"/>
            <w:tcBorders>
              <w:top w:val="nil"/>
              <w:left w:val="nil"/>
              <w:bottom w:val="single" w:color="auto" w:sz="4" w:space="0"/>
              <w:right w:val="single" w:color="auto" w:sz="4" w:space="0"/>
            </w:tcBorders>
            <w:vAlign w:val="center"/>
          </w:tcPr>
          <w:p w14:paraId="584792B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255.22</w:t>
            </w:r>
          </w:p>
        </w:tc>
        <w:tc>
          <w:tcPr>
            <w:tcW w:w="1276" w:type="dxa"/>
            <w:tcBorders>
              <w:top w:val="nil"/>
              <w:left w:val="nil"/>
              <w:bottom w:val="single" w:color="auto" w:sz="4" w:space="0"/>
              <w:right w:val="single" w:color="auto" w:sz="4" w:space="0"/>
            </w:tcBorders>
            <w:vAlign w:val="center"/>
          </w:tcPr>
          <w:p w14:paraId="441DE8C1">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284.74</w:t>
            </w:r>
          </w:p>
        </w:tc>
        <w:tc>
          <w:tcPr>
            <w:tcW w:w="1842" w:type="dxa"/>
            <w:tcBorders>
              <w:top w:val="nil"/>
              <w:left w:val="nil"/>
              <w:bottom w:val="single" w:color="auto" w:sz="4" w:space="0"/>
              <w:right w:val="single" w:color="auto" w:sz="4" w:space="0"/>
            </w:tcBorders>
            <w:vAlign w:val="center"/>
          </w:tcPr>
          <w:p w14:paraId="0A30E19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284.74</w:t>
            </w:r>
          </w:p>
        </w:tc>
        <w:tc>
          <w:tcPr>
            <w:tcW w:w="993" w:type="dxa"/>
            <w:tcBorders>
              <w:top w:val="nil"/>
              <w:left w:val="nil"/>
              <w:bottom w:val="single" w:color="auto" w:sz="4" w:space="0"/>
              <w:right w:val="single" w:color="auto" w:sz="4" w:space="0"/>
            </w:tcBorders>
            <w:vAlign w:val="center"/>
          </w:tcPr>
          <w:p w14:paraId="0B40164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59BDF596">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7CA3A2F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7E6EAECF">
            <w:pPr>
              <w:widowControl/>
              <w:spacing w:after="0" w:line="240" w:lineRule="auto"/>
              <w:jc w:val="center"/>
              <w:rPr>
                <w:rFonts w:hint="eastAsia" w:ascii="宋体" w:hAnsi="宋体" w:eastAsia="宋体" w:cs="宋体"/>
                <w:kern w:val="0"/>
                <w:sz w:val="18"/>
                <w:szCs w:val="18"/>
                <w:lang w:eastAsia="zh-CN"/>
                <w14:ligatures w14:val="none"/>
              </w:rPr>
            </w:pPr>
          </w:p>
        </w:tc>
      </w:tr>
      <w:tr w14:paraId="3D927D32">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4BCBE83">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2B6B117A">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其他资金</w:t>
            </w:r>
          </w:p>
        </w:tc>
        <w:tc>
          <w:tcPr>
            <w:tcW w:w="1418" w:type="dxa"/>
            <w:tcBorders>
              <w:top w:val="nil"/>
              <w:left w:val="nil"/>
              <w:bottom w:val="single" w:color="auto" w:sz="4" w:space="0"/>
              <w:right w:val="single" w:color="auto" w:sz="4" w:space="0"/>
            </w:tcBorders>
            <w:vAlign w:val="center"/>
          </w:tcPr>
          <w:p w14:paraId="5173296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0.00</w:t>
            </w:r>
          </w:p>
        </w:tc>
        <w:tc>
          <w:tcPr>
            <w:tcW w:w="1276" w:type="dxa"/>
            <w:tcBorders>
              <w:top w:val="nil"/>
              <w:left w:val="nil"/>
              <w:bottom w:val="single" w:color="auto" w:sz="4" w:space="0"/>
              <w:right w:val="single" w:color="auto" w:sz="4" w:space="0"/>
            </w:tcBorders>
            <w:vAlign w:val="center"/>
          </w:tcPr>
          <w:p w14:paraId="4C65325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0.00</w:t>
            </w:r>
          </w:p>
        </w:tc>
        <w:tc>
          <w:tcPr>
            <w:tcW w:w="1842" w:type="dxa"/>
            <w:tcBorders>
              <w:top w:val="nil"/>
              <w:left w:val="nil"/>
              <w:bottom w:val="single" w:color="auto" w:sz="4" w:space="0"/>
              <w:right w:val="single" w:color="auto" w:sz="4" w:space="0"/>
            </w:tcBorders>
            <w:vAlign w:val="center"/>
          </w:tcPr>
          <w:p w14:paraId="2129449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0.00</w:t>
            </w:r>
          </w:p>
        </w:tc>
        <w:tc>
          <w:tcPr>
            <w:tcW w:w="993" w:type="dxa"/>
            <w:tcBorders>
              <w:top w:val="nil"/>
              <w:left w:val="nil"/>
              <w:bottom w:val="single" w:color="auto" w:sz="4" w:space="0"/>
              <w:right w:val="single" w:color="auto" w:sz="4" w:space="0"/>
            </w:tcBorders>
            <w:vAlign w:val="center"/>
          </w:tcPr>
          <w:p w14:paraId="100FD7C6">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1BF3DA8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54C3DAD6">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30144A6D">
            <w:pPr>
              <w:widowControl/>
              <w:spacing w:after="0" w:line="240" w:lineRule="auto"/>
              <w:jc w:val="center"/>
              <w:rPr>
                <w:rFonts w:hint="eastAsia" w:ascii="宋体" w:hAnsi="宋体" w:eastAsia="宋体" w:cs="宋体"/>
                <w:kern w:val="0"/>
                <w:sz w:val="18"/>
                <w:szCs w:val="18"/>
                <w:lang w:eastAsia="zh-CN"/>
                <w14:ligatures w14:val="none"/>
              </w:rPr>
            </w:pPr>
          </w:p>
        </w:tc>
      </w:tr>
      <w:tr w14:paraId="0A9FEDB1">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BB93DD3">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33FCCA57">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合计</w:t>
            </w:r>
          </w:p>
        </w:tc>
        <w:tc>
          <w:tcPr>
            <w:tcW w:w="1418" w:type="dxa"/>
            <w:tcBorders>
              <w:top w:val="nil"/>
              <w:left w:val="nil"/>
              <w:bottom w:val="single" w:color="auto" w:sz="4" w:space="0"/>
              <w:right w:val="single" w:color="auto" w:sz="4" w:space="0"/>
            </w:tcBorders>
            <w:vAlign w:val="center"/>
          </w:tcPr>
          <w:p w14:paraId="485B060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257.64</w:t>
            </w:r>
          </w:p>
        </w:tc>
        <w:tc>
          <w:tcPr>
            <w:tcW w:w="1276" w:type="dxa"/>
            <w:tcBorders>
              <w:top w:val="nil"/>
              <w:left w:val="nil"/>
              <w:bottom w:val="single" w:color="auto" w:sz="4" w:space="0"/>
              <w:right w:val="single" w:color="auto" w:sz="4" w:space="0"/>
            </w:tcBorders>
            <w:vAlign w:val="center"/>
          </w:tcPr>
          <w:p w14:paraId="52EA9FD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287.16</w:t>
            </w:r>
          </w:p>
        </w:tc>
        <w:tc>
          <w:tcPr>
            <w:tcW w:w="1842" w:type="dxa"/>
            <w:tcBorders>
              <w:top w:val="nil"/>
              <w:left w:val="nil"/>
              <w:bottom w:val="single" w:color="auto" w:sz="4" w:space="0"/>
              <w:right w:val="single" w:color="auto" w:sz="4" w:space="0"/>
            </w:tcBorders>
            <w:vAlign w:val="center"/>
          </w:tcPr>
          <w:p w14:paraId="721D32D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287.16</w:t>
            </w:r>
          </w:p>
        </w:tc>
        <w:tc>
          <w:tcPr>
            <w:tcW w:w="993" w:type="dxa"/>
            <w:tcBorders>
              <w:top w:val="nil"/>
              <w:left w:val="nil"/>
              <w:bottom w:val="single" w:color="auto" w:sz="4" w:space="0"/>
              <w:right w:val="single" w:color="auto" w:sz="4" w:space="0"/>
            </w:tcBorders>
            <w:vAlign w:val="center"/>
          </w:tcPr>
          <w:p w14:paraId="3A295DA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992" w:type="dxa"/>
            <w:tcBorders>
              <w:top w:val="nil"/>
              <w:left w:val="nil"/>
              <w:bottom w:val="single" w:color="auto" w:sz="4" w:space="0"/>
              <w:right w:val="single" w:color="auto" w:sz="4" w:space="0"/>
            </w:tcBorders>
            <w:vAlign w:val="center"/>
          </w:tcPr>
          <w:p w14:paraId="79EF0A7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720" w:type="dxa"/>
            <w:tcBorders>
              <w:top w:val="nil"/>
              <w:left w:val="nil"/>
              <w:bottom w:val="single" w:color="auto" w:sz="4" w:space="0"/>
              <w:right w:val="single" w:color="auto" w:sz="4" w:space="0"/>
            </w:tcBorders>
            <w:vAlign w:val="center"/>
          </w:tcPr>
          <w:p w14:paraId="6FB7136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284" w:type="dxa"/>
            <w:tcBorders>
              <w:top w:val="nil"/>
              <w:left w:val="nil"/>
              <w:bottom w:val="nil"/>
              <w:right w:val="nil"/>
            </w:tcBorders>
            <w:noWrap/>
            <w:vAlign w:val="center"/>
          </w:tcPr>
          <w:p w14:paraId="021BFED8">
            <w:pPr>
              <w:widowControl/>
              <w:spacing w:after="0" w:line="240" w:lineRule="auto"/>
              <w:jc w:val="center"/>
              <w:rPr>
                <w:rFonts w:hint="eastAsia" w:ascii="宋体" w:hAnsi="宋体" w:eastAsia="宋体" w:cs="宋体"/>
                <w:kern w:val="0"/>
                <w:sz w:val="18"/>
                <w:szCs w:val="18"/>
                <w:lang w:eastAsia="zh-CN"/>
                <w14:ligatures w14:val="none"/>
              </w:rPr>
            </w:pPr>
          </w:p>
        </w:tc>
      </w:tr>
      <w:tr w14:paraId="03DD5B47">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E6EFF53">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41635399">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5A4D2DC9">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实际完成情况</w:t>
            </w:r>
          </w:p>
        </w:tc>
        <w:tc>
          <w:tcPr>
            <w:tcW w:w="284" w:type="dxa"/>
            <w:tcBorders>
              <w:top w:val="nil"/>
              <w:left w:val="nil"/>
              <w:bottom w:val="nil"/>
              <w:right w:val="nil"/>
            </w:tcBorders>
            <w:noWrap/>
            <w:vAlign w:val="center"/>
          </w:tcPr>
          <w:p w14:paraId="6C5F4482">
            <w:pPr>
              <w:widowControl/>
              <w:spacing w:after="0" w:line="240" w:lineRule="auto"/>
              <w:jc w:val="left"/>
              <w:rPr>
                <w:rFonts w:hint="eastAsia" w:ascii="宋体" w:hAnsi="宋体" w:eastAsia="宋体" w:cs="宋体"/>
                <w:b/>
                <w:bCs/>
                <w:kern w:val="0"/>
                <w:sz w:val="18"/>
                <w:szCs w:val="18"/>
                <w:lang w:eastAsia="zh-CN"/>
                <w14:ligatures w14:val="none"/>
              </w:rPr>
            </w:pPr>
          </w:p>
        </w:tc>
      </w:tr>
      <w:tr w14:paraId="2B2B79CC">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AE8115F">
            <w:pPr>
              <w:widowControl/>
              <w:spacing w:after="0" w:line="240" w:lineRule="auto"/>
              <w:jc w:val="left"/>
              <w:rPr>
                <w:rFonts w:hint="eastAsia" w:ascii="宋体" w:hAnsi="宋体" w:eastAsia="宋体" w:cs="宋体"/>
                <w:b/>
                <w:bCs/>
                <w:kern w:val="0"/>
                <w:sz w:val="18"/>
                <w:szCs w:val="18"/>
                <w:lang w:eastAsia="zh-CN"/>
                <w14:ligatures w14:val="none"/>
              </w:rPr>
            </w:pPr>
          </w:p>
        </w:tc>
        <w:tc>
          <w:tcPr>
            <w:tcW w:w="4111" w:type="dxa"/>
            <w:gridSpan w:val="3"/>
            <w:tcBorders>
              <w:top w:val="single" w:color="auto" w:sz="4" w:space="0"/>
              <w:left w:val="nil"/>
              <w:bottom w:val="single" w:color="auto" w:sz="4" w:space="0"/>
              <w:right w:val="single" w:color="auto" w:sz="4" w:space="0"/>
            </w:tcBorders>
          </w:tcPr>
          <w:p w14:paraId="44105245">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目标1：宣传贯彻执行党和国家的教育方针、政策、法律法规等，坚持依法执教、依法治学，贯彻执行县教育局的行政规章制度；目标2：按照计划进行学前免费教育，保障辖区内幼儿完成三年免费教育。目标3：组织开展本校的教育科学科研和教育教学改革，全力推进教育实施；为提高教育教学水平，教师参加各类培训数量≥3次，教师培训合格率达100%。保障学校的正常运行。</w:t>
            </w:r>
          </w:p>
        </w:tc>
        <w:tc>
          <w:tcPr>
            <w:tcW w:w="4547" w:type="dxa"/>
            <w:gridSpan w:val="4"/>
            <w:tcBorders>
              <w:top w:val="single" w:color="auto" w:sz="4" w:space="0"/>
              <w:left w:val="nil"/>
              <w:bottom w:val="single" w:color="auto" w:sz="4" w:space="0"/>
              <w:right w:val="single" w:color="auto" w:sz="4" w:space="0"/>
            </w:tcBorders>
          </w:tcPr>
          <w:p w14:paraId="0025CB91">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截止2024年12月31日，我单位已完成如下工作：学前幼儿人数22人，开展教师培训数量3次，组织教学质量分析会2次，各类培训及学习次数5次，片区适龄儿童入学率99%。定期开展教学观摩活动，让教师相互学习、借鉴先进的教学方法和经验，促进教学水平共同提升，促进教学质量提升，提升学校在区域内的影响力和竞争力。</w:t>
            </w:r>
          </w:p>
        </w:tc>
        <w:tc>
          <w:tcPr>
            <w:tcW w:w="284" w:type="dxa"/>
            <w:tcBorders>
              <w:top w:val="nil"/>
              <w:left w:val="nil"/>
              <w:bottom w:val="nil"/>
              <w:right w:val="nil"/>
            </w:tcBorders>
            <w:noWrap/>
            <w:vAlign w:val="center"/>
          </w:tcPr>
          <w:p w14:paraId="7E99D004">
            <w:pPr>
              <w:widowControl/>
              <w:spacing w:after="0" w:line="240" w:lineRule="auto"/>
              <w:jc w:val="left"/>
              <w:rPr>
                <w:rFonts w:hint="eastAsia" w:ascii="宋体" w:hAnsi="宋体" w:eastAsia="宋体" w:cs="宋体"/>
                <w:kern w:val="0"/>
                <w:sz w:val="18"/>
                <w:szCs w:val="18"/>
                <w:lang w:eastAsia="zh-CN"/>
                <w14:ligatures w14:val="none"/>
              </w:rPr>
            </w:pPr>
          </w:p>
        </w:tc>
      </w:tr>
      <w:tr w14:paraId="76FE7EFD">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4084566">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一级指标</w:t>
            </w:r>
          </w:p>
        </w:tc>
        <w:tc>
          <w:tcPr>
            <w:tcW w:w="1417" w:type="dxa"/>
            <w:tcBorders>
              <w:top w:val="nil"/>
              <w:left w:val="nil"/>
              <w:bottom w:val="single" w:color="auto" w:sz="4" w:space="0"/>
              <w:right w:val="single" w:color="auto" w:sz="4" w:space="0"/>
            </w:tcBorders>
            <w:vAlign w:val="center"/>
          </w:tcPr>
          <w:p w14:paraId="735C5F2B">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二级指标</w:t>
            </w:r>
          </w:p>
        </w:tc>
        <w:tc>
          <w:tcPr>
            <w:tcW w:w="1418" w:type="dxa"/>
            <w:tcBorders>
              <w:top w:val="nil"/>
              <w:left w:val="nil"/>
              <w:bottom w:val="single" w:color="auto" w:sz="4" w:space="0"/>
              <w:right w:val="single" w:color="auto" w:sz="4" w:space="0"/>
            </w:tcBorders>
            <w:vAlign w:val="center"/>
          </w:tcPr>
          <w:p w14:paraId="600B8A76">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三级指标</w:t>
            </w:r>
          </w:p>
        </w:tc>
        <w:tc>
          <w:tcPr>
            <w:tcW w:w="1276" w:type="dxa"/>
            <w:tcBorders>
              <w:top w:val="nil"/>
              <w:left w:val="nil"/>
              <w:bottom w:val="single" w:color="auto" w:sz="4" w:space="0"/>
              <w:right w:val="single" w:color="auto" w:sz="4" w:space="0"/>
            </w:tcBorders>
            <w:vAlign w:val="center"/>
          </w:tcPr>
          <w:p w14:paraId="74B6E6A9">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预期指标值</w:t>
            </w:r>
          </w:p>
        </w:tc>
        <w:tc>
          <w:tcPr>
            <w:tcW w:w="1842" w:type="dxa"/>
            <w:tcBorders>
              <w:top w:val="nil"/>
              <w:left w:val="nil"/>
              <w:bottom w:val="single" w:color="auto" w:sz="4" w:space="0"/>
              <w:right w:val="single" w:color="auto" w:sz="4" w:space="0"/>
            </w:tcBorders>
            <w:vAlign w:val="center"/>
          </w:tcPr>
          <w:p w14:paraId="0861EF6D">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指标值设定依据</w:t>
            </w:r>
          </w:p>
        </w:tc>
        <w:tc>
          <w:tcPr>
            <w:tcW w:w="993" w:type="dxa"/>
            <w:tcBorders>
              <w:top w:val="nil"/>
              <w:left w:val="nil"/>
              <w:bottom w:val="single" w:color="auto" w:sz="4" w:space="0"/>
              <w:right w:val="single" w:color="auto" w:sz="4" w:space="0"/>
            </w:tcBorders>
            <w:vAlign w:val="center"/>
          </w:tcPr>
          <w:p w14:paraId="6665AED1">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分值权重</w:t>
            </w:r>
          </w:p>
        </w:tc>
        <w:tc>
          <w:tcPr>
            <w:tcW w:w="992" w:type="dxa"/>
            <w:tcBorders>
              <w:top w:val="nil"/>
              <w:left w:val="nil"/>
              <w:bottom w:val="single" w:color="auto" w:sz="4" w:space="0"/>
              <w:right w:val="single" w:color="auto" w:sz="4" w:space="0"/>
            </w:tcBorders>
            <w:vAlign w:val="center"/>
          </w:tcPr>
          <w:p w14:paraId="1C4DC465">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实际完成指标值</w:t>
            </w:r>
          </w:p>
        </w:tc>
        <w:tc>
          <w:tcPr>
            <w:tcW w:w="720" w:type="dxa"/>
            <w:tcBorders>
              <w:top w:val="nil"/>
              <w:left w:val="nil"/>
              <w:bottom w:val="single" w:color="auto" w:sz="4" w:space="0"/>
              <w:right w:val="single" w:color="auto" w:sz="4" w:space="0"/>
            </w:tcBorders>
            <w:vAlign w:val="center"/>
          </w:tcPr>
          <w:p w14:paraId="5754C54D">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得分</w:t>
            </w:r>
          </w:p>
        </w:tc>
        <w:tc>
          <w:tcPr>
            <w:tcW w:w="284" w:type="dxa"/>
            <w:tcBorders>
              <w:top w:val="nil"/>
              <w:left w:val="nil"/>
              <w:bottom w:val="nil"/>
              <w:right w:val="nil"/>
            </w:tcBorders>
            <w:noWrap/>
            <w:vAlign w:val="center"/>
          </w:tcPr>
          <w:p w14:paraId="68A77A2C">
            <w:pPr>
              <w:widowControl/>
              <w:spacing w:after="0" w:line="240" w:lineRule="auto"/>
              <w:jc w:val="left"/>
              <w:rPr>
                <w:rFonts w:hint="eastAsia" w:ascii="宋体" w:hAnsi="宋体" w:eastAsia="宋体" w:cs="宋体"/>
                <w:b/>
                <w:bCs/>
                <w:kern w:val="0"/>
                <w:sz w:val="18"/>
                <w:szCs w:val="18"/>
                <w:lang w:eastAsia="zh-CN"/>
                <w14:ligatures w14:val="none"/>
              </w:rPr>
            </w:pPr>
          </w:p>
        </w:tc>
      </w:tr>
      <w:tr w14:paraId="2EE25D1C">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B1A9A46">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管理效率</w:t>
            </w:r>
          </w:p>
        </w:tc>
        <w:tc>
          <w:tcPr>
            <w:tcW w:w="1417" w:type="dxa"/>
            <w:vMerge w:val="restart"/>
            <w:tcBorders>
              <w:top w:val="nil"/>
              <w:left w:val="nil"/>
              <w:right w:val="single" w:color="auto" w:sz="4" w:space="0"/>
            </w:tcBorders>
            <w:noWrap/>
            <w:vAlign w:val="center"/>
          </w:tcPr>
          <w:p w14:paraId="49384B0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数量指标</w:t>
            </w:r>
          </w:p>
        </w:tc>
        <w:tc>
          <w:tcPr>
            <w:tcW w:w="1418" w:type="dxa"/>
            <w:tcBorders>
              <w:top w:val="nil"/>
              <w:left w:val="nil"/>
              <w:bottom w:val="single" w:color="auto" w:sz="4" w:space="0"/>
              <w:right w:val="single" w:color="auto" w:sz="4" w:space="0"/>
            </w:tcBorders>
            <w:noWrap/>
            <w:vAlign w:val="center"/>
          </w:tcPr>
          <w:p w14:paraId="29CD686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学前幼儿人数</w:t>
            </w:r>
          </w:p>
        </w:tc>
        <w:tc>
          <w:tcPr>
            <w:tcW w:w="1276" w:type="dxa"/>
            <w:tcBorders>
              <w:top w:val="nil"/>
              <w:left w:val="nil"/>
              <w:bottom w:val="single" w:color="auto" w:sz="4" w:space="0"/>
              <w:right w:val="single" w:color="auto" w:sz="4" w:space="0"/>
            </w:tcBorders>
            <w:noWrap/>
            <w:vAlign w:val="center"/>
          </w:tcPr>
          <w:p w14:paraId="41ECC68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&gt;=22人</w:t>
            </w:r>
          </w:p>
        </w:tc>
        <w:tc>
          <w:tcPr>
            <w:tcW w:w="1842" w:type="dxa"/>
            <w:tcBorders>
              <w:top w:val="nil"/>
              <w:left w:val="nil"/>
              <w:bottom w:val="single" w:color="auto" w:sz="4" w:space="0"/>
              <w:right w:val="single" w:color="auto" w:sz="4" w:space="0"/>
            </w:tcBorders>
            <w:noWrap/>
            <w:vAlign w:val="center"/>
          </w:tcPr>
          <w:p w14:paraId="5DCC7C3B">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木垒哈萨克自治县西吉尔幼儿园2024年工作计划</w:t>
            </w:r>
          </w:p>
        </w:tc>
        <w:tc>
          <w:tcPr>
            <w:tcW w:w="993" w:type="dxa"/>
            <w:tcBorders>
              <w:top w:val="nil"/>
              <w:left w:val="nil"/>
              <w:bottom w:val="single" w:color="auto" w:sz="4" w:space="0"/>
              <w:right w:val="single" w:color="auto" w:sz="4" w:space="0"/>
            </w:tcBorders>
            <w:noWrap/>
            <w:vAlign w:val="center"/>
          </w:tcPr>
          <w:p w14:paraId="183CA8F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992" w:type="dxa"/>
            <w:tcBorders>
              <w:top w:val="nil"/>
              <w:left w:val="nil"/>
              <w:bottom w:val="single" w:color="auto" w:sz="4" w:space="0"/>
              <w:right w:val="single" w:color="auto" w:sz="4" w:space="0"/>
            </w:tcBorders>
            <w:noWrap/>
            <w:vAlign w:val="center"/>
          </w:tcPr>
          <w:p w14:paraId="6D75FD2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22人</w:t>
            </w:r>
          </w:p>
        </w:tc>
        <w:tc>
          <w:tcPr>
            <w:tcW w:w="720" w:type="dxa"/>
            <w:tcBorders>
              <w:top w:val="nil"/>
              <w:left w:val="nil"/>
              <w:bottom w:val="single" w:color="auto" w:sz="4" w:space="0"/>
              <w:right w:val="single" w:color="auto" w:sz="4" w:space="0"/>
            </w:tcBorders>
            <w:noWrap/>
            <w:vAlign w:val="center"/>
          </w:tcPr>
          <w:p w14:paraId="33E617F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284" w:type="dxa"/>
            <w:tcBorders>
              <w:top w:val="nil"/>
              <w:left w:val="nil"/>
              <w:bottom w:val="nil"/>
              <w:right w:val="nil"/>
            </w:tcBorders>
            <w:noWrap/>
            <w:vAlign w:val="center"/>
          </w:tcPr>
          <w:p w14:paraId="4988BF9B">
            <w:pPr>
              <w:widowControl/>
              <w:spacing w:after="0" w:line="240" w:lineRule="auto"/>
              <w:jc w:val="center"/>
              <w:rPr>
                <w:rFonts w:hint="eastAsia" w:ascii="宋体" w:hAnsi="宋体" w:eastAsia="宋体" w:cs="宋体"/>
                <w:kern w:val="0"/>
                <w:sz w:val="18"/>
                <w:szCs w:val="18"/>
                <w:lang w:eastAsia="zh-CN"/>
                <w14:ligatures w14:val="none"/>
              </w:rPr>
            </w:pPr>
          </w:p>
        </w:tc>
      </w:tr>
      <w:tr w14:paraId="734A26F8">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76B078AA">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continue"/>
            <w:tcBorders>
              <w:left w:val="nil"/>
              <w:right w:val="single" w:color="auto" w:sz="4" w:space="0"/>
            </w:tcBorders>
            <w:noWrap/>
            <w:vAlign w:val="center"/>
          </w:tcPr>
          <w:p w14:paraId="2ABBE027">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nil"/>
              <w:left w:val="nil"/>
              <w:bottom w:val="single" w:color="auto" w:sz="4" w:space="0"/>
              <w:right w:val="single" w:color="auto" w:sz="4" w:space="0"/>
            </w:tcBorders>
            <w:noWrap/>
            <w:vAlign w:val="center"/>
          </w:tcPr>
          <w:p w14:paraId="1A1E5619">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开展教师培训数量</w:t>
            </w:r>
          </w:p>
        </w:tc>
        <w:tc>
          <w:tcPr>
            <w:tcW w:w="1276" w:type="dxa"/>
            <w:tcBorders>
              <w:top w:val="nil"/>
              <w:left w:val="nil"/>
              <w:bottom w:val="single" w:color="auto" w:sz="4" w:space="0"/>
              <w:right w:val="single" w:color="auto" w:sz="4" w:space="0"/>
            </w:tcBorders>
            <w:noWrap/>
            <w:vAlign w:val="center"/>
          </w:tcPr>
          <w:p w14:paraId="2589FAC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&gt;=3次</w:t>
            </w:r>
          </w:p>
        </w:tc>
        <w:tc>
          <w:tcPr>
            <w:tcW w:w="1842" w:type="dxa"/>
            <w:tcBorders>
              <w:top w:val="nil"/>
              <w:left w:val="nil"/>
              <w:bottom w:val="single" w:color="auto" w:sz="4" w:space="0"/>
              <w:right w:val="single" w:color="auto" w:sz="4" w:space="0"/>
            </w:tcBorders>
            <w:noWrap/>
            <w:vAlign w:val="center"/>
          </w:tcPr>
          <w:p w14:paraId="03306A79">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木垒哈萨克自治县西吉尔幼儿园2024年工作计划</w:t>
            </w:r>
          </w:p>
        </w:tc>
        <w:tc>
          <w:tcPr>
            <w:tcW w:w="993" w:type="dxa"/>
            <w:tcBorders>
              <w:top w:val="nil"/>
              <w:left w:val="nil"/>
              <w:bottom w:val="single" w:color="auto" w:sz="4" w:space="0"/>
              <w:right w:val="single" w:color="auto" w:sz="4" w:space="0"/>
            </w:tcBorders>
            <w:noWrap/>
            <w:vAlign w:val="center"/>
          </w:tcPr>
          <w:p w14:paraId="4DA18579">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15</w:t>
            </w:r>
          </w:p>
        </w:tc>
        <w:tc>
          <w:tcPr>
            <w:tcW w:w="992" w:type="dxa"/>
            <w:tcBorders>
              <w:top w:val="nil"/>
              <w:left w:val="nil"/>
              <w:bottom w:val="single" w:color="auto" w:sz="4" w:space="0"/>
              <w:right w:val="single" w:color="auto" w:sz="4" w:space="0"/>
            </w:tcBorders>
            <w:noWrap/>
            <w:vAlign w:val="center"/>
          </w:tcPr>
          <w:p w14:paraId="20C2D1F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3次</w:t>
            </w:r>
          </w:p>
        </w:tc>
        <w:tc>
          <w:tcPr>
            <w:tcW w:w="720" w:type="dxa"/>
            <w:tcBorders>
              <w:top w:val="nil"/>
              <w:left w:val="nil"/>
              <w:bottom w:val="single" w:color="auto" w:sz="4" w:space="0"/>
              <w:right w:val="single" w:color="auto" w:sz="4" w:space="0"/>
            </w:tcBorders>
            <w:noWrap/>
            <w:vAlign w:val="center"/>
          </w:tcPr>
          <w:p w14:paraId="352852F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15</w:t>
            </w:r>
          </w:p>
        </w:tc>
        <w:tc>
          <w:tcPr>
            <w:tcW w:w="284" w:type="dxa"/>
            <w:tcBorders>
              <w:top w:val="nil"/>
              <w:left w:val="nil"/>
              <w:bottom w:val="nil"/>
              <w:right w:val="nil"/>
            </w:tcBorders>
            <w:noWrap/>
            <w:vAlign w:val="center"/>
          </w:tcPr>
          <w:p w14:paraId="197BE237">
            <w:pPr>
              <w:widowControl/>
              <w:spacing w:after="0" w:line="240" w:lineRule="auto"/>
              <w:jc w:val="center"/>
              <w:rPr>
                <w:rFonts w:hint="eastAsia" w:ascii="宋体" w:hAnsi="宋体" w:eastAsia="宋体" w:cs="宋体"/>
                <w:kern w:val="0"/>
                <w:sz w:val="18"/>
                <w:szCs w:val="18"/>
                <w:lang w:eastAsia="zh-CN"/>
                <w14:ligatures w14:val="none"/>
              </w:rPr>
            </w:pPr>
          </w:p>
        </w:tc>
      </w:tr>
      <w:tr w14:paraId="03E8DB36">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49F58029">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continue"/>
            <w:tcBorders>
              <w:left w:val="nil"/>
              <w:right w:val="single" w:color="auto" w:sz="4" w:space="0"/>
            </w:tcBorders>
            <w:noWrap/>
            <w:vAlign w:val="center"/>
          </w:tcPr>
          <w:p w14:paraId="181DC6E7">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nil"/>
              <w:left w:val="nil"/>
              <w:bottom w:val="single" w:color="auto" w:sz="4" w:space="0"/>
              <w:right w:val="single" w:color="auto" w:sz="4" w:space="0"/>
            </w:tcBorders>
            <w:noWrap/>
            <w:vAlign w:val="center"/>
          </w:tcPr>
          <w:p w14:paraId="00F0FD01">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组织教学质量分析会</w:t>
            </w:r>
          </w:p>
        </w:tc>
        <w:tc>
          <w:tcPr>
            <w:tcW w:w="1276" w:type="dxa"/>
            <w:tcBorders>
              <w:top w:val="nil"/>
              <w:left w:val="nil"/>
              <w:bottom w:val="single" w:color="auto" w:sz="4" w:space="0"/>
              <w:right w:val="single" w:color="auto" w:sz="4" w:space="0"/>
            </w:tcBorders>
            <w:noWrap/>
            <w:vAlign w:val="center"/>
          </w:tcPr>
          <w:p w14:paraId="13250EA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&gt;=2次</w:t>
            </w:r>
          </w:p>
        </w:tc>
        <w:tc>
          <w:tcPr>
            <w:tcW w:w="1842" w:type="dxa"/>
            <w:tcBorders>
              <w:top w:val="nil"/>
              <w:left w:val="nil"/>
              <w:bottom w:val="single" w:color="auto" w:sz="4" w:space="0"/>
              <w:right w:val="single" w:color="auto" w:sz="4" w:space="0"/>
            </w:tcBorders>
            <w:noWrap/>
            <w:vAlign w:val="center"/>
          </w:tcPr>
          <w:p w14:paraId="623C12E6">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木垒哈萨克自治县西吉尔幼儿园2024年工作计划</w:t>
            </w:r>
          </w:p>
        </w:tc>
        <w:tc>
          <w:tcPr>
            <w:tcW w:w="993" w:type="dxa"/>
            <w:tcBorders>
              <w:top w:val="nil"/>
              <w:left w:val="nil"/>
              <w:bottom w:val="single" w:color="auto" w:sz="4" w:space="0"/>
              <w:right w:val="single" w:color="auto" w:sz="4" w:space="0"/>
            </w:tcBorders>
            <w:noWrap/>
            <w:vAlign w:val="center"/>
          </w:tcPr>
          <w:p w14:paraId="4FDE4C8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w:t>
            </w:r>
          </w:p>
        </w:tc>
        <w:tc>
          <w:tcPr>
            <w:tcW w:w="992" w:type="dxa"/>
            <w:tcBorders>
              <w:top w:val="nil"/>
              <w:left w:val="nil"/>
              <w:bottom w:val="single" w:color="auto" w:sz="4" w:space="0"/>
              <w:right w:val="single" w:color="auto" w:sz="4" w:space="0"/>
            </w:tcBorders>
            <w:noWrap/>
            <w:vAlign w:val="center"/>
          </w:tcPr>
          <w:p w14:paraId="2929073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2次</w:t>
            </w:r>
          </w:p>
        </w:tc>
        <w:tc>
          <w:tcPr>
            <w:tcW w:w="720" w:type="dxa"/>
            <w:tcBorders>
              <w:top w:val="nil"/>
              <w:left w:val="nil"/>
              <w:bottom w:val="single" w:color="auto" w:sz="4" w:space="0"/>
              <w:right w:val="single" w:color="auto" w:sz="4" w:space="0"/>
            </w:tcBorders>
            <w:noWrap/>
            <w:vAlign w:val="center"/>
          </w:tcPr>
          <w:p w14:paraId="7F71BDF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w:t>
            </w:r>
          </w:p>
        </w:tc>
        <w:tc>
          <w:tcPr>
            <w:tcW w:w="284" w:type="dxa"/>
            <w:tcBorders>
              <w:top w:val="nil"/>
              <w:left w:val="nil"/>
              <w:bottom w:val="nil"/>
              <w:right w:val="nil"/>
            </w:tcBorders>
            <w:noWrap/>
            <w:vAlign w:val="center"/>
          </w:tcPr>
          <w:p w14:paraId="388E8A07">
            <w:pPr>
              <w:widowControl/>
              <w:spacing w:after="0" w:line="240" w:lineRule="auto"/>
              <w:jc w:val="center"/>
              <w:rPr>
                <w:rFonts w:hint="eastAsia" w:ascii="宋体" w:hAnsi="宋体" w:eastAsia="宋体" w:cs="宋体"/>
                <w:kern w:val="0"/>
                <w:sz w:val="18"/>
                <w:szCs w:val="18"/>
                <w:lang w:eastAsia="zh-CN"/>
                <w14:ligatures w14:val="none"/>
              </w:rPr>
            </w:pPr>
          </w:p>
        </w:tc>
      </w:tr>
      <w:tr w14:paraId="382D58E0">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0C4B7F4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履职效能</w:t>
            </w:r>
          </w:p>
        </w:tc>
        <w:tc>
          <w:tcPr>
            <w:tcW w:w="1417" w:type="dxa"/>
            <w:vMerge w:val="continue"/>
            <w:tcBorders>
              <w:left w:val="nil"/>
              <w:bottom w:val="single" w:color="auto" w:sz="4" w:space="0"/>
              <w:right w:val="single" w:color="auto" w:sz="4" w:space="0"/>
            </w:tcBorders>
            <w:noWrap/>
            <w:vAlign w:val="center"/>
          </w:tcPr>
          <w:p w14:paraId="7A4341F6">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nil"/>
              <w:left w:val="nil"/>
              <w:bottom w:val="single" w:color="auto" w:sz="4" w:space="0"/>
              <w:right w:val="single" w:color="auto" w:sz="4" w:space="0"/>
            </w:tcBorders>
            <w:noWrap/>
            <w:vAlign w:val="center"/>
          </w:tcPr>
          <w:p w14:paraId="6C119A19">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各类培训及学习次数</w:t>
            </w:r>
          </w:p>
        </w:tc>
        <w:tc>
          <w:tcPr>
            <w:tcW w:w="1276" w:type="dxa"/>
            <w:tcBorders>
              <w:top w:val="nil"/>
              <w:left w:val="nil"/>
              <w:bottom w:val="single" w:color="auto" w:sz="4" w:space="0"/>
              <w:right w:val="single" w:color="auto" w:sz="4" w:space="0"/>
            </w:tcBorders>
            <w:noWrap/>
            <w:vAlign w:val="center"/>
          </w:tcPr>
          <w:p w14:paraId="64B73E6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&gt;=5次</w:t>
            </w:r>
          </w:p>
        </w:tc>
        <w:tc>
          <w:tcPr>
            <w:tcW w:w="1842" w:type="dxa"/>
            <w:tcBorders>
              <w:top w:val="nil"/>
              <w:left w:val="nil"/>
              <w:bottom w:val="single" w:color="auto" w:sz="4" w:space="0"/>
              <w:right w:val="single" w:color="auto" w:sz="4" w:space="0"/>
            </w:tcBorders>
            <w:noWrap/>
            <w:vAlign w:val="center"/>
          </w:tcPr>
          <w:p w14:paraId="50E054A0">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木垒哈萨克自治县西吉尔幼儿园2024年工作计划</w:t>
            </w:r>
          </w:p>
        </w:tc>
        <w:tc>
          <w:tcPr>
            <w:tcW w:w="993" w:type="dxa"/>
            <w:tcBorders>
              <w:top w:val="nil"/>
              <w:left w:val="nil"/>
              <w:bottom w:val="single" w:color="auto" w:sz="4" w:space="0"/>
              <w:right w:val="single" w:color="auto" w:sz="4" w:space="0"/>
            </w:tcBorders>
            <w:noWrap/>
            <w:vAlign w:val="center"/>
          </w:tcPr>
          <w:p w14:paraId="1B5C005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w:t>
            </w:r>
          </w:p>
        </w:tc>
        <w:tc>
          <w:tcPr>
            <w:tcW w:w="992" w:type="dxa"/>
            <w:tcBorders>
              <w:top w:val="nil"/>
              <w:left w:val="nil"/>
              <w:bottom w:val="single" w:color="auto" w:sz="4" w:space="0"/>
              <w:right w:val="single" w:color="auto" w:sz="4" w:space="0"/>
            </w:tcBorders>
            <w:noWrap/>
            <w:vAlign w:val="center"/>
          </w:tcPr>
          <w:p w14:paraId="1F5EA33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5次</w:t>
            </w:r>
          </w:p>
        </w:tc>
        <w:tc>
          <w:tcPr>
            <w:tcW w:w="720" w:type="dxa"/>
            <w:tcBorders>
              <w:top w:val="nil"/>
              <w:left w:val="nil"/>
              <w:bottom w:val="single" w:color="auto" w:sz="4" w:space="0"/>
              <w:right w:val="single" w:color="auto" w:sz="4" w:space="0"/>
            </w:tcBorders>
            <w:noWrap/>
            <w:vAlign w:val="center"/>
          </w:tcPr>
          <w:p w14:paraId="5A13425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w:t>
            </w:r>
          </w:p>
        </w:tc>
        <w:tc>
          <w:tcPr>
            <w:tcW w:w="284" w:type="dxa"/>
            <w:tcBorders>
              <w:top w:val="nil"/>
              <w:left w:val="nil"/>
              <w:bottom w:val="nil"/>
              <w:right w:val="nil"/>
            </w:tcBorders>
            <w:noWrap/>
            <w:vAlign w:val="center"/>
          </w:tcPr>
          <w:p w14:paraId="02DE330B">
            <w:pPr>
              <w:widowControl/>
              <w:spacing w:after="0" w:line="240" w:lineRule="auto"/>
              <w:jc w:val="center"/>
              <w:rPr>
                <w:rFonts w:hint="eastAsia" w:ascii="宋体" w:hAnsi="宋体" w:eastAsia="宋体" w:cs="宋体"/>
                <w:kern w:val="0"/>
                <w:sz w:val="18"/>
                <w:szCs w:val="18"/>
                <w:lang w:eastAsia="zh-CN"/>
                <w14:ligatures w14:val="none"/>
              </w:rPr>
            </w:pPr>
          </w:p>
        </w:tc>
      </w:tr>
      <w:tr w14:paraId="3283A600">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2BA433B9">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tcBorders>
              <w:top w:val="nil"/>
              <w:left w:val="nil"/>
              <w:bottom w:val="single" w:color="auto" w:sz="4" w:space="0"/>
              <w:right w:val="single" w:color="auto" w:sz="4" w:space="0"/>
            </w:tcBorders>
            <w:noWrap/>
            <w:vAlign w:val="center"/>
          </w:tcPr>
          <w:p w14:paraId="1DB9DC4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社会效益 指标</w:t>
            </w:r>
          </w:p>
        </w:tc>
        <w:tc>
          <w:tcPr>
            <w:tcW w:w="1418" w:type="dxa"/>
            <w:tcBorders>
              <w:top w:val="nil"/>
              <w:left w:val="nil"/>
              <w:bottom w:val="single" w:color="auto" w:sz="4" w:space="0"/>
              <w:right w:val="single" w:color="auto" w:sz="4" w:space="0"/>
            </w:tcBorders>
            <w:noWrap/>
            <w:vAlign w:val="center"/>
          </w:tcPr>
          <w:p w14:paraId="21B3BDC1">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片区适龄儿童入学率</w:t>
            </w:r>
          </w:p>
        </w:tc>
        <w:tc>
          <w:tcPr>
            <w:tcW w:w="1276" w:type="dxa"/>
            <w:tcBorders>
              <w:top w:val="nil"/>
              <w:left w:val="nil"/>
              <w:bottom w:val="single" w:color="auto" w:sz="4" w:space="0"/>
              <w:right w:val="single" w:color="auto" w:sz="4" w:space="0"/>
            </w:tcBorders>
            <w:noWrap/>
            <w:vAlign w:val="center"/>
          </w:tcPr>
          <w:p w14:paraId="10A56C7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&gt;=99%</w:t>
            </w:r>
          </w:p>
        </w:tc>
        <w:tc>
          <w:tcPr>
            <w:tcW w:w="1842" w:type="dxa"/>
            <w:tcBorders>
              <w:top w:val="nil"/>
              <w:left w:val="nil"/>
              <w:bottom w:val="single" w:color="auto" w:sz="4" w:space="0"/>
              <w:right w:val="single" w:color="auto" w:sz="4" w:space="0"/>
            </w:tcBorders>
            <w:noWrap/>
            <w:vAlign w:val="center"/>
          </w:tcPr>
          <w:p w14:paraId="3FD95A76">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木垒哈萨克自治县西吉尔幼儿园2024年工作计划</w:t>
            </w:r>
          </w:p>
        </w:tc>
        <w:tc>
          <w:tcPr>
            <w:tcW w:w="993" w:type="dxa"/>
            <w:tcBorders>
              <w:top w:val="nil"/>
              <w:left w:val="nil"/>
              <w:bottom w:val="single" w:color="auto" w:sz="4" w:space="0"/>
              <w:right w:val="single" w:color="auto" w:sz="4" w:space="0"/>
            </w:tcBorders>
            <w:noWrap/>
            <w:vAlign w:val="center"/>
          </w:tcPr>
          <w:p w14:paraId="4AB6141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15</w:t>
            </w:r>
          </w:p>
        </w:tc>
        <w:tc>
          <w:tcPr>
            <w:tcW w:w="992" w:type="dxa"/>
            <w:tcBorders>
              <w:top w:val="nil"/>
              <w:left w:val="nil"/>
              <w:bottom w:val="single" w:color="auto" w:sz="4" w:space="0"/>
              <w:right w:val="single" w:color="auto" w:sz="4" w:space="0"/>
            </w:tcBorders>
            <w:noWrap/>
            <w:vAlign w:val="center"/>
          </w:tcPr>
          <w:p w14:paraId="23D4AC2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99%</w:t>
            </w:r>
          </w:p>
        </w:tc>
        <w:tc>
          <w:tcPr>
            <w:tcW w:w="720" w:type="dxa"/>
            <w:tcBorders>
              <w:top w:val="nil"/>
              <w:left w:val="nil"/>
              <w:bottom w:val="single" w:color="auto" w:sz="4" w:space="0"/>
              <w:right w:val="single" w:color="auto" w:sz="4" w:space="0"/>
            </w:tcBorders>
            <w:noWrap/>
            <w:vAlign w:val="center"/>
          </w:tcPr>
          <w:p w14:paraId="46C472C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15</w:t>
            </w:r>
          </w:p>
        </w:tc>
        <w:tc>
          <w:tcPr>
            <w:tcW w:w="284" w:type="dxa"/>
            <w:tcBorders>
              <w:top w:val="nil"/>
              <w:left w:val="nil"/>
              <w:bottom w:val="nil"/>
              <w:right w:val="nil"/>
            </w:tcBorders>
            <w:noWrap/>
            <w:vAlign w:val="center"/>
          </w:tcPr>
          <w:p w14:paraId="2FD3A0DE">
            <w:pPr>
              <w:widowControl/>
              <w:spacing w:after="0" w:line="240" w:lineRule="auto"/>
              <w:jc w:val="center"/>
              <w:rPr>
                <w:rFonts w:hint="eastAsia" w:ascii="宋体" w:hAnsi="宋体" w:eastAsia="宋体" w:cs="宋体"/>
                <w:kern w:val="0"/>
                <w:sz w:val="18"/>
                <w:szCs w:val="18"/>
                <w:lang w:eastAsia="zh-CN"/>
                <w14:ligatures w14:val="none"/>
              </w:rPr>
            </w:pPr>
          </w:p>
        </w:tc>
      </w:tr>
    </w:tbl>
    <w:p w14:paraId="71099B96">
      <w:pPr>
        <w:rPr>
          <w:rFonts w:ascii="仿宋_GB2312" w:eastAsia="仿宋_GB2312"/>
          <w:b w:val="0"/>
          <w:sz w:val="32"/>
          <w:szCs w:val="32"/>
        </w:rPr>
      </w:pPr>
      <w:r>
        <w:rPr>
          <w:rFonts w:ascii="仿宋_GB2312" w:eastAsia="仿宋_GB2312"/>
          <w:b w:val="0"/>
          <w:sz w:val="32"/>
          <w:szCs w:val="32"/>
        </w:rPr>
        <w:br w:type="page"/>
      </w:r>
    </w:p>
    <w:p w14:paraId="11BA76A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1AD030E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14:paraId="70E3AF74">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306FA3EF">
      <w:pPr>
        <w:widowControl/>
      </w:pPr>
      <w:r>
        <w:rPr>
          <w:b w:val="0"/>
          <w:sz w:val="0"/>
          <w:szCs w:val="0"/>
        </w:rPr>
        <w:br w:type="page"/>
      </w:r>
    </w:p>
    <w:p w14:paraId="1A0BED49">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 专业名词解释</w:t>
      </w:r>
    </w:p>
    <w:p w14:paraId="2AFB7F11">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3853F238">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28652C4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77F9E83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581434A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00FC9A96">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02DE231A">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6DCED508">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EACF44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6BD9C4A5">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761AB16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3F502C8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26778AF6">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BF7D9C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5E740248">
      <w:pPr>
        <w:widowControl/>
      </w:pPr>
      <w:r>
        <w:rPr>
          <w:b w:val="0"/>
          <w:sz w:val="0"/>
          <w:szCs w:val="0"/>
        </w:rPr>
        <w:br w:type="page"/>
      </w:r>
    </w:p>
    <w:p w14:paraId="15649616">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 部门决算报表（见附表）</w:t>
      </w:r>
    </w:p>
    <w:p w14:paraId="32A579E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27521590">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6ED5CE9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29245AC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34D7CF32">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75BD617C">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4DC375C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2E7B9F2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154125D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documentProtection w:enforcement="0"/>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000000"/>
    <w:rsid w:val="101E0140"/>
    <w:rsid w:val="1BE325AA"/>
    <w:rsid w:val="2E6C2329"/>
    <w:rsid w:val="32415FB0"/>
    <w:rsid w:val="33F42695"/>
    <w:rsid w:val="4F484818"/>
    <w:rsid w:val="644D5D32"/>
    <w:rsid w:val="67BA6FC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Pages>
  <Words>6147</Words>
  <Characters>6795</Characters>
  <TotalTime>1</TotalTime>
  <ScaleCrop>false</ScaleCrop>
  <LinksUpToDate>false</LinksUpToDate>
  <CharactersWithSpaces>6806</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2025-09-23T09:12:00Z</dcterms:created>
  <dc:creator>ldan</dc:creator>
  <cp:lastModifiedBy>W.w</cp:lastModifiedBy>
  <dcterms:modified xsi:type="dcterms:W3CDTF">2025-09-25T07:55:42Z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EFB89E32A61948939941E352BE975DD6_12</vt:lpwstr>
  </property>
</Properties>
</file>